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/>
        <w:t>ZAŁĄCZNIK NR 3 DO SIWZ – OPIS PRZEDMIOTU ZAMÓWIENIA</w:t>
      </w:r>
    </w:p>
    <w:p>
      <w:pPr>
        <w:pStyle w:val="Normal"/>
        <w:rPr/>
      </w:pPr>
      <w:r>
        <w:rPr>
          <w:rFonts w:cs="Calibri"/>
          <w:b/>
          <w:bCs/>
          <w:color w:val="000000"/>
          <w:szCs w:val="22"/>
        </w:rPr>
        <w:t xml:space="preserve">Będący załącznikiem nr 2 do umowy nr </w:t>
      </w:r>
      <w:r>
        <w:rPr>
          <w:rFonts w:cs="Calibri"/>
          <w:b/>
          <w:szCs w:val="22"/>
        </w:rPr>
        <w:t>……………………….</w:t>
      </w:r>
    </w:p>
    <w:p>
      <w:pPr>
        <w:pStyle w:val="Normal"/>
        <w:rPr>
          <w:rFonts w:cs="Calibri"/>
          <w:bCs/>
          <w:i/>
          <w:i/>
          <w:color w:val="000000"/>
          <w:szCs w:val="22"/>
        </w:rPr>
      </w:pPr>
      <w:r>
        <w:rPr>
          <w:rFonts w:cs="Calibri"/>
          <w:bCs/>
          <w:i/>
          <w:color w:val="000000"/>
          <w:szCs w:val="22"/>
        </w:rPr>
      </w:r>
    </w:p>
    <w:p>
      <w:pPr>
        <w:pStyle w:val="Zwykytekst1"/>
        <w:spacing w:lineRule="auto" w:line="288" w:before="120" w:after="0"/>
        <w:jc w:val="both"/>
        <w:rPr/>
      </w:pPr>
      <w:r>
        <w:rPr>
          <w:rFonts w:cs="Calibri" w:ascii="Calibri" w:hAnsi="Calibri"/>
          <w:bCs/>
          <w:i/>
          <w:color w:val="000000"/>
          <w:sz w:val="22"/>
          <w:szCs w:val="22"/>
        </w:rPr>
        <w:t xml:space="preserve">             </w:t>
      </w:r>
      <w:r>
        <w:rPr>
          <w:rFonts w:cs="Calibri" w:ascii="Calibri" w:hAnsi="Calibri"/>
          <w:bCs/>
          <w:i/>
          <w:color w:val="000000"/>
          <w:sz w:val="22"/>
          <w:szCs w:val="22"/>
        </w:rPr>
        <w:t xml:space="preserve">Informujemy ze wszystkie zapisy zawarte w tym załączniku są istotne dla Zamawiającego i w składanej ofercie powinien być zawarty cały i kompletny opis przedmiotu zamówienia wskazany poniżej. Załącznik złożony w ofercie wypełniony wybiórczo bądź nie kompletny będzie skutkował niezgodnością treści oferty ze Specyfikacja Istotnych Warunków Zamówienia i może w konsekwencji spowodować odrzucenie oferty na podstawie art. 89 ust. 1 pkt. 2 </w:t>
      </w:r>
      <w:r>
        <w:rPr>
          <w:rFonts w:cs="Calibri" w:ascii="Calibri" w:hAnsi="Calibri"/>
          <w:i/>
          <w:color w:val="000000"/>
          <w:sz w:val="22"/>
          <w:szCs w:val="22"/>
        </w:rPr>
        <w:t xml:space="preserve"> ustawy z dnia 29 stycznia 2004 roku  Prawo zamówień publicznych (Dz.U. z 2019 poz. 1843)</w:t>
      </w:r>
      <w:r>
        <w:rPr>
          <w:rFonts w:cs="Calibri" w:ascii="Calibri" w:hAnsi="Calibri"/>
          <w:bCs/>
          <w:i/>
          <w:color w:val="000000"/>
          <w:sz w:val="22"/>
          <w:szCs w:val="22"/>
        </w:rPr>
        <w:t xml:space="preserve"> </w:t>
      </w:r>
    </w:p>
    <w:p>
      <w:pPr>
        <w:pStyle w:val="Zwykytekst1"/>
        <w:spacing w:lineRule="auto" w:line="288" w:before="120" w:after="0"/>
        <w:jc w:val="both"/>
        <w:rPr>
          <w:rFonts w:ascii="Calibri" w:hAnsi="Calibri" w:cs="Calibri"/>
          <w:bCs/>
          <w:i/>
          <w:i/>
          <w:color w:val="000000"/>
          <w:sz w:val="22"/>
          <w:szCs w:val="22"/>
        </w:rPr>
      </w:pPr>
      <w:r>
        <w:rPr>
          <w:rFonts w:cs="Calibri" w:ascii="Calibri" w:hAnsi="Calibri"/>
          <w:bCs/>
          <w:i/>
          <w:color w:val="000000"/>
          <w:sz w:val="22"/>
          <w:szCs w:val="22"/>
        </w:rPr>
      </w:r>
    </w:p>
    <w:p>
      <w:pPr>
        <w:pStyle w:val="ListParagraph"/>
        <w:numPr>
          <w:ilvl w:val="3"/>
          <w:numId w:val="6"/>
        </w:numPr>
        <w:ind w:left="0" w:hanging="0"/>
        <w:rPr/>
      </w:pPr>
      <w:r>
        <w:rPr>
          <w:rFonts w:cs="Calibri"/>
          <w:b/>
          <w:bCs/>
          <w:szCs w:val="22"/>
          <w:u w:val="single"/>
        </w:rPr>
        <w:t>Przedmiot zamówienia:</w:t>
      </w:r>
      <w:r>
        <w:rPr>
          <w:rFonts w:cs="Calibri"/>
          <w:b/>
          <w:bCs/>
          <w:i/>
          <w:smallCaps/>
          <w:szCs w:val="22"/>
        </w:rPr>
        <w:t xml:space="preserve"> 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360" w:before="0" w:after="0"/>
        <w:ind w:left="0" w:hanging="0"/>
        <w:contextualSpacing/>
        <w:rPr>
          <w:rFonts w:cs="Calibri"/>
          <w:szCs w:val="22"/>
        </w:rPr>
      </w:pPr>
      <w:r>
        <w:rPr>
          <w:rFonts w:cs="Calibri"/>
          <w:szCs w:val="22"/>
        </w:rPr>
        <w:t xml:space="preserve">Przedmiotem zamówienia jest dostawa: 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lineRule="auto" w:line="360" w:before="0" w:after="0"/>
        <w:ind w:left="0" w:hanging="0"/>
        <w:contextualSpacing/>
        <w:rPr/>
      </w:pPr>
      <w:r>
        <w:rPr>
          <w:rFonts w:cs="Calibri"/>
          <w:szCs w:val="22"/>
        </w:rPr>
        <w:t>dwóch sztuk oscyloskopów o paśmie analogowym minimum 500 MHz,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lineRule="auto" w:line="360" w:before="0" w:after="0"/>
        <w:ind w:left="0" w:hanging="0"/>
        <w:contextualSpacing/>
        <w:rPr/>
      </w:pPr>
      <w:r>
        <w:rPr>
          <w:rFonts w:cs="Calibri"/>
          <w:szCs w:val="22"/>
        </w:rPr>
        <w:t>oscyloskopu o paśmie minimum 4 GHz, wraz z minimum jedną sondą aktywną wysoko impedancyjną, oraz minimum jedną sondą aktywną różnicową.</w:t>
      </w:r>
    </w:p>
    <w:p>
      <w:pPr>
        <w:pStyle w:val="ListParagraph"/>
        <w:widowControl w:val="false"/>
        <w:suppressAutoHyphens w:val="true"/>
        <w:spacing w:lineRule="auto" w:line="360" w:before="0" w:after="0"/>
        <w:ind w:left="720" w:hanging="0"/>
        <w:contextualSpacing/>
        <w:rPr>
          <w:rFonts w:cs="Calibri"/>
          <w:szCs w:val="22"/>
        </w:rPr>
      </w:pPr>
      <w:r>
        <w:rPr>
          <w:rFonts w:cs="Calibri"/>
          <w:szCs w:val="22"/>
        </w:rPr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360"/>
        <w:ind w:left="0" w:hanging="0"/>
        <w:rPr/>
      </w:pPr>
      <w:r>
        <w:rPr>
          <w:rFonts w:cs="Calibri"/>
          <w:kern w:val="2"/>
          <w:szCs w:val="22"/>
          <w:lang w:eastAsia="ar-SA"/>
        </w:rPr>
        <w:t xml:space="preserve">Wspólny Słownik Zamówień CPV: </w:t>
      </w:r>
      <w:r>
        <w:rPr>
          <w:rFonts w:cs="Calibri"/>
          <w:szCs w:val="22"/>
        </w:rPr>
        <w:t>38342000-4 Oscyloskopy</w:t>
      </w:r>
    </w:p>
    <w:p>
      <w:pPr>
        <w:pStyle w:val="ListParagraph"/>
        <w:numPr>
          <w:ilvl w:val="0"/>
          <w:numId w:val="6"/>
        </w:numPr>
        <w:spacing w:before="120" w:after="0"/>
        <w:ind w:left="0" w:hanging="0"/>
        <w:rPr/>
      </w:pPr>
      <w:r>
        <w:rPr>
          <w:rFonts w:cs="Calibri"/>
          <w:b/>
          <w:szCs w:val="22"/>
          <w:u w:val="single"/>
        </w:rPr>
        <w:t>Wymagania dotyczące przedmiotu zamówienia</w:t>
      </w:r>
      <w:r>
        <w:rPr>
          <w:rFonts w:cs="Calibri"/>
          <w:b/>
          <w:szCs w:val="22"/>
        </w:rPr>
        <w:t>:</w:t>
      </w:r>
    </w:p>
    <w:p>
      <w:pPr>
        <w:pStyle w:val="Normal"/>
        <w:spacing w:lineRule="auto" w:line="240"/>
        <w:rPr>
          <w:rFonts w:cs="Calibri"/>
          <w:color w:val="993300"/>
          <w:szCs w:val="22"/>
        </w:rPr>
      </w:pPr>
      <w:r>
        <w:rPr>
          <w:rFonts w:cs="Calibri"/>
          <w:color w:val="993300"/>
          <w:szCs w:val="22"/>
        </w:rPr>
      </w:r>
    </w:p>
    <w:p>
      <w:pPr>
        <w:pStyle w:val="Normal"/>
        <w:widowControl w:val="false"/>
        <w:suppressAutoHyphens w:val="true"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Ilekroć w niniejszej specyfikacji przedmiot zamówienia jest opisany ze wskazaniem znaków towarowych, patentów lub pochodzenia, to przyjmuje się, że wskazaniom takim towarzyszą wyrazy „lub równoważne”.</w:t>
      </w:r>
    </w:p>
    <w:p>
      <w:pPr>
        <w:pStyle w:val="Normal"/>
        <w:widowControl w:val="false"/>
        <w:suppressAutoHyphens w:val="true"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Jeżeli w opisie przedmiotu zamówienia lub gdziekolwiek w SIWZ użyto norm, aprobat technicznych, specyfikacji technicznych, systemów odniesienia, nazwy standardu, klasy, benchmarku lub inne, które mogą być rozumiane jako wskazanie normy w rozumieniu art. 30 ustawy, Zamawiający dopuszcza zastosowanie rozwiązań równoważnych opisywanym, gwarantujących osiągnięcie parametrów nie gorszych niż opisane w dokumentacji.</w:t>
      </w:r>
    </w:p>
    <w:p>
      <w:pPr>
        <w:pStyle w:val="Normal"/>
        <w:widowControl w:val="false"/>
        <w:suppressAutoHyphens w:val="true"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Wykonawca, który powołuje się na równoważne rozwiązania, jest zobowiązany wykazać, że oferowane przez niego dostawy i usługi spełniają wymagania określone przez Zamawiającego.</w:t>
      </w:r>
    </w:p>
    <w:p>
      <w:pPr>
        <w:pStyle w:val="Normal"/>
        <w:widowControl w:val="false"/>
        <w:suppressAutoHyphens w:val="true"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Gdziekolwiek w opisie przedmiotu zamówienia występują odniesienia do Polskich Norm, dopuszczalne jest stosowanie odpowiednich norm krajów Unii Europejskiej, w zakresie przyjętym przez polskie prawodawstwo.</w:t>
      </w:r>
    </w:p>
    <w:p>
      <w:pPr>
        <w:pStyle w:val="Normal"/>
        <w:widowControl w:val="false"/>
        <w:suppressAutoHyphens w:val="true"/>
        <w:spacing w:before="60" w:after="60"/>
        <w:rPr>
          <w:rFonts w:cs="Calibri"/>
          <w:bCs/>
          <w:kern w:val="2"/>
          <w:szCs w:val="22"/>
          <w:lang w:eastAsia="ar-SA"/>
        </w:rPr>
      </w:pPr>
      <w:r>
        <w:rPr>
          <w:rFonts w:cs="Calibri"/>
          <w:bCs/>
          <w:kern w:val="2"/>
          <w:szCs w:val="22"/>
          <w:lang w:eastAsia="ar-SA"/>
        </w:rPr>
        <w:t>Zamawiający wymaga dla każdego oferowanego produktu, programu podania pełnej nazwy producenta i produktu wraz z numerem katalogowym (jeśli występuje). Jeśli oferowany produkt składa się z części (np. urządzenia,  pakiety oprogramowania).</w:t>
      </w:r>
    </w:p>
    <w:p>
      <w:pPr>
        <w:pStyle w:val="Normal"/>
        <w:widowControl w:val="false"/>
        <w:suppressAutoHyphens w:val="true"/>
        <w:spacing w:before="60" w:after="60"/>
        <w:rPr/>
      </w:pPr>
      <w:r>
        <w:rPr>
          <w:rFonts w:cs="Calibri"/>
          <w:bCs/>
          <w:kern w:val="2"/>
          <w:szCs w:val="22"/>
          <w:lang w:eastAsia="ar-SA"/>
        </w:rPr>
        <w:t>Zamawiający wymaga tego wyłącznie obowiązkowo dla pozycji, które wskazał w opisie przedmiotu zamówienia.</w:t>
      </w:r>
    </w:p>
    <w:p>
      <w:pPr>
        <w:pStyle w:val="Normal"/>
        <w:widowControl w:val="false"/>
        <w:suppressAutoHyphens w:val="true"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Wszelkie wymagania techniczne dotyczące przedmiotu zamówienia należy traktować jako graniczne, brak możliwości spełnienia przez proponowane urządzenia lub oprogramowanie któregokolwiek z wymienionych parametrów wyklucza je z dalszej oceny.</w:t>
      </w:r>
    </w:p>
    <w:p>
      <w:pPr>
        <w:pStyle w:val="Normal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ListParagraph"/>
        <w:numPr>
          <w:ilvl w:val="0"/>
          <w:numId w:val="6"/>
        </w:numPr>
        <w:spacing w:lineRule="auto" w:line="240"/>
        <w:ind w:left="0" w:hanging="0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  <w:t>Wymagania techniczne na poszczególne składniki przedmiotu zamówienia</w:t>
      </w:r>
    </w:p>
    <w:p>
      <w:pPr>
        <w:pStyle w:val="Normal"/>
        <w:spacing w:lineRule="auto" w:line="360"/>
        <w:rPr/>
      </w:pPr>
      <w:r>
        <w:rPr>
          <w:rFonts w:cs="Calibri"/>
          <w:b/>
          <w:color w:val="000000"/>
          <w:kern w:val="2"/>
          <w:szCs w:val="22"/>
          <w:lang w:eastAsia="ar-SA"/>
        </w:rPr>
        <w:t>Tabela nr 1. Oscyloskop</w:t>
      </w:r>
      <w:r>
        <w:rPr>
          <w:rFonts w:cs="Calibri"/>
          <w:b/>
        </w:rPr>
        <w:t xml:space="preserve"> o paśmie analogowym minimum 500 MHz (2 szt.)</w:t>
      </w:r>
      <w:r>
        <w:rPr>
          <w:rFonts w:cs="Calibri"/>
          <w:b/>
          <w:color w:val="000000"/>
          <w:kern w:val="2"/>
          <w:szCs w:val="22"/>
          <w:lang w:eastAsia="ar-SA"/>
        </w:rPr>
        <w:t xml:space="preserve"> – wskazany w tabeli kosztorysowej w pozycji nr 1.</w:t>
      </w:r>
    </w:p>
    <w:tbl>
      <w:tblPr>
        <w:tblW w:w="9340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20"/>
        <w:gridCol w:w="2491"/>
        <w:gridCol w:w="4177"/>
        <w:gridCol w:w="1851"/>
      </w:tblGrid>
      <w:tr>
        <w:trPr>
          <w:trHeight w:val="151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Typ urządzenia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Parametry techniczne wymagane przez Zamawiającego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Oferowany przez Wykonawcę* (Wykonawca jest zobowiązany wpisać proponowane przez siebie parametry lub potwierdzić spełnianie parametrów wymaganych przez Zamawiającego)</w:t>
            </w:r>
          </w:p>
        </w:tc>
      </w:tr>
      <w:tr>
        <w:trPr>
          <w:trHeight w:val="151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  <w:szCs w:val="22"/>
              </w:rPr>
              <w:t>2 sztuki oscyloskopów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bookmarkStart w:id="0" w:name="_Hlk22738540"/>
            <w:r>
              <w:rPr>
                <w:b/>
                <w:szCs w:val="22"/>
              </w:rPr>
              <w:t>o paśmie analogowym minimum 500 MHz</w:t>
            </w:r>
            <w:bookmarkEnd w:id="0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Oferowany Typ: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…………………</w:t>
            </w:r>
            <w:r>
              <w:rPr>
                <w:b/>
                <w:bCs/>
                <w:szCs w:val="22"/>
              </w:rPr>
              <w:t>.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Oferowany Model: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…………………</w:t>
            </w:r>
            <w:r>
              <w:rPr>
                <w:b/>
                <w:bCs/>
                <w:szCs w:val="22"/>
              </w:rPr>
              <w:t>.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Parametry kanału X: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Prędkość próbkowania w czasie rzeczywistym min. 10 Gpróbek/s dla pojedynczego kanału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Pojemność pamięci dla pojedynczego kanału akwizycji danych min. 500 Mpróbek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Parametry kanału Y: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Szerokość pasma analogowego min. 500 MHz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Liczba analogowych wejść pomiarowych min. 4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rozdzielczość min. 8 bitów na całym ekranie, przy wszystkich kanałach włączonych i na wszystkich zakresach czułości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najwyższa czułość kanału, co najwyżej 1mV/działkę (bez uwzględnienia wpływu sond)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najniższa czułość kanału, co najmniej 10 V/działkę (bez uwzględnienia wpływu sond)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impedancja wejścia min. 50 Ω lub 1 MΩ, przełączane z poziomu użytkowania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maksymalne napięcie wejściowe min 5 Vrms dla wejścia typu 50 Ω, oraz 300 Vrms dla 1 MΩ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ustawienie ograniczenie pasma niezależnie dla każdego kanału min. w dwóch dodatkowych trybach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typ złącz analogowych: BNC</w:t>
            </w:r>
            <w:bookmarkStart w:id="1" w:name="_GoBack"/>
            <w:bookmarkEnd w:id="1"/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>
                <w:color w:val="FF0000"/>
              </w:rPr>
            </w:pPr>
            <w:r>
              <w:rPr>
                <w:bCs/>
                <w:color w:val="FF0000"/>
              </w:rPr>
              <w:t>czas narastania (mierzony między 10% a 90%) nie gorszy niż 800 ps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Przełączanie impedancji wejścia pomiędzy 1 MΩ a 50 Ω z oprogramowania oscyloskopu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Parametry wyzwalania przebiegu: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Min. jednego dedykowanego zewnętrznego wejścia bądź z przebiegu jednego z kanałów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Wyzwalanie zboczem, narastającym bądź opadającym, w trybie auto, normal, pojedynczym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Dodatkowe elementy: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Możliwość zapisu i sprzętowego odtwarzania rejestrowanych przebiegów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Liczba odtwarzanych rekordów min. 450 tysięcy rekordów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Wyświetlacz typu LCD o rozdzielczości min. 10 cali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Wbudowane funkcje matematyczne: histogram, FFT, uśrednianie (min. 65536 razy), wyznaczanie czasu narastania, opadania, czasu trwania impulsu, amplitudy, częstotliwości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6.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Wbudowany analizator stanów logicznych: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liczba kanałów min. 16 sztuk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szybkość akwizycji danych linii cyfrowych min. 1.25 Gpróbki/s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możliwość odtwarzania przebiegów cyfrowych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bCs/>
              </w:rPr>
              <w:t>7.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Wbudowany analizator protokołów cyfrowych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(Kryterium punktowe)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Wbudowany analizator protokołów cyfrowych min. I2C, SPI, UART, CAN, I2S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Tak/Nie</w:t>
            </w:r>
          </w:p>
        </w:tc>
      </w:tr>
      <w:tr>
        <w:trPr>
          <w:trHeight w:val="77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bCs/>
              </w:rPr>
              <w:t>8.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Cs/>
              </w:rPr>
            </w:pPr>
            <w:r>
              <w:rPr>
                <w:bCs/>
              </w:rPr>
              <w:t>Wymogi: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Możliwość pełnego sterowania funkcjami oscyloskopu (włączenia akwizycji danych, zmiany nastaw wyzwalania, rozdzielczości toru X, Y) poprzez interfejs USB, GPIB, LAN (LXI) z oprogramowania dostarczonego producenta. 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>Wymagany Certyfikat kalibracji nie starszy niż 6 miesięcy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>Zasilanie w zakresie od 110 do 260 V, przy częstotliwości sieci między 50 a 60 Hz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>Sondy pomiarowe, kompatybilna z oscyloskopem, minimum 4x sondy pasywne o paśmie pracy minimum 500 MHz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360"/>
        <w:rPr>
          <w:rFonts w:cs="Calibri"/>
          <w:b/>
          <w:b/>
          <w:color w:val="000000"/>
          <w:kern w:val="2"/>
          <w:szCs w:val="22"/>
          <w:lang w:eastAsia="ar-SA"/>
        </w:rPr>
      </w:pPr>
      <w:r>
        <w:rPr>
          <w:rFonts w:cs="Calibri"/>
          <w:b/>
          <w:color w:val="000000"/>
          <w:kern w:val="2"/>
          <w:szCs w:val="22"/>
          <w:lang w:eastAsia="ar-SA"/>
        </w:rPr>
      </w:r>
    </w:p>
    <w:p>
      <w:pPr>
        <w:pStyle w:val="Normal"/>
        <w:spacing w:lineRule="auto" w:line="360"/>
        <w:rPr/>
      </w:pPr>
      <w:r>
        <w:rPr>
          <w:rFonts w:cs="Calibri"/>
          <w:b/>
          <w:color w:val="000000"/>
          <w:kern w:val="2"/>
          <w:szCs w:val="22"/>
          <w:lang w:eastAsia="ar-SA"/>
        </w:rPr>
        <w:t>Tabela nr 2. Oscyloskop</w:t>
      </w:r>
      <w:r>
        <w:rPr>
          <w:b/>
        </w:rPr>
        <w:t xml:space="preserve"> o paśmie minimum 4 GHz, wraz z min. jedną sondą aktywną wysoko impedancyjną, min. jedną sondą aktywną różnicową</w:t>
      </w:r>
      <w:r>
        <w:rPr>
          <w:rFonts w:cs="Calibri"/>
          <w:b/>
          <w:color w:val="000000"/>
          <w:kern w:val="2"/>
          <w:szCs w:val="22"/>
          <w:lang w:eastAsia="ar-SA"/>
        </w:rPr>
        <w:t xml:space="preserve"> – wskazany w tabeli kosztorysowej w pozycji nr 2.</w:t>
      </w:r>
    </w:p>
    <w:tbl>
      <w:tblPr>
        <w:tblW w:w="9586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16"/>
        <w:gridCol w:w="2495"/>
        <w:gridCol w:w="4176"/>
        <w:gridCol w:w="2098"/>
      </w:tblGrid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Typ urządzenia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Parametry techniczne wymagane przez Zamawiającego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>
                <w:b/>
                <w:bCs/>
              </w:rPr>
              <w:t xml:space="preserve">Oferowany przez Wykonawcę* </w:t>
            </w:r>
            <w:r>
              <w:rPr>
                <w:b/>
                <w:bCs/>
                <w:sz w:val="16"/>
                <w:szCs w:val="16"/>
              </w:rPr>
              <w:t>(Wykonawca jest zobowiązany wpisać proponowane przez siebie parametry lub potwierdzić spełnianie parametrów wymaganych przez Zamawiającego)</w:t>
            </w:r>
          </w:p>
        </w:tc>
      </w:tr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  <w:t>1 sztuka oscyloskopu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  <w:t>o paśmie minimum 4 GHz, wraz z min. jedną sondą aktywną wysoko impedancyjną, min. jedną sondą aktywną różnicową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Oferowany Typ: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  <w:r>
              <w:rPr>
                <w:b/>
                <w:bCs/>
              </w:rPr>
              <w:t>.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Oferowany Model: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  <w:r>
              <w:rPr>
                <w:b/>
                <w:bCs/>
              </w:rPr>
              <w:t>.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Parametry toru X: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próbkowanie minimum 10 GS/s przy pracy równoległej 4 kanałów, minimum 20 GS/s przy pracy 2 kanałów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>
                <w:color w:val="FF0000"/>
              </w:rPr>
              <w:t>zakres podstawy czasu od maksimum 40 ps/działkę do minimum 1 ks/działkę.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Parametry toru Y: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pasmo analogowe od DC do minimum 4 GHz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>
                <w:color w:val="FF0000"/>
              </w:rPr>
            </w:pPr>
            <w:r>
              <w:rPr>
                <w:color w:val="FF0000"/>
              </w:rPr>
              <w:t>przetwornik minimum 12 bitów (w całym zakresie pasma i ze wszystkimi prędkościami próbkowania), efektywna liczba bitów minimum 7.2 bita przy 4 GHz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impedancja wejścia min. 50 Ω lub 1 MΩ, przełączane z poziomu użytkownika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liczba analogowych wejść pomiarowych min. 4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czas narastania (mierzony między 10%  a 90%) nie większy niż 105 ps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zakres czułości dla impedancji wejścia 50 Ω od co najwyżej 1 mV do minimum 1 V/działkę, dla 1 MΩ od co najwyżej 1 mV do minimum 10 V/działkę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bookmarkStart w:id="2" w:name="__DdeLink__1787_3270228552"/>
            <w:r>
              <w:rPr/>
              <w:t>Przełączanie impedancji wejścia pomiędzy 1 MΩ a 50 Ω z oprogramowania oscyloskopu</w:t>
            </w:r>
            <w:bookmarkEnd w:id="2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Wyzwalanie: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>
                <w:lang w:val="en-US"/>
              </w:rPr>
            </w:pPr>
            <w:r>
              <w:rPr/>
              <w:t xml:space="preserve">zboczem, szerokością impulsu, impulsem, zdefiniowanymi zależnościami w przebiciach wejściowych sygnałów (ang. </w:t>
            </w:r>
            <w:r>
              <w:rPr>
                <w:lang w:val="en-US"/>
              </w:rPr>
              <w:t>Multi-Stage: Qualified Timeout or State/Edge Qualified and Multi-Stage: Qualified)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min. jednego dedykowanego zewnętrznego wejścia bądź z przebiegu jednego z kanałów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wyzwalanie zboczem, narastającym bądź opadającym, w trybie auto, normal, pojedynczym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Dodatkowe elementy: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Wbudowana pamięć akwizycji próbek minimum 500 Mpunktów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Możliwość wykonywania wielu funkcji matematycznych jednocześnie, minimum 12 (w tym: FFT, histogram)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Interfejsy komunikacyjne: min. 1x LAN, 2x USB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Wyświetlacz kolorowy dotykowy o przekątnej nie mniejszej niż 15 cali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Zasilanie w zakresie od 110 do 260 V, przy częstotliwości sieci między 50 a 60 Hz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diagram oka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Wymagany Certyfikat kalibracji nie starszy niż 6 miesięcy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Tryb akwizycji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Tryb akwizycji za pomocą pamięci segmentowanej, wymagane spełnienie następujących wymagań (wszystkich):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min. 10000 wyzwoleń na sekundę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możliwość pracy z wyzwalaniem kwalifikowanym (rysunek. 1), tj: układ wyzwalania jest uzbrajany wg warunku zadeklarowanego dla przebiegu A, natomiast faktyczne wyzwolenie następuje po spełnieniu warunku dla przebiegu B, w czasie nie dłuższym niż Tmax od spełnienia warunku dla przebiegu A. Wymagana obsługa następujących warunków dla przebiegów A oraz B: przekroczenie progu dla zbocza rosnącego, przekroczenie progu dla zbocza malejącego, próg wyzwolenia i typ zbocza ustawiane niezależnie dla kanałów A oraz B.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zapisywanie czasu wyzwolenia względem pierwszego segmentu lub w postaci czasu UTC (zegar rzeczywisty) dla wszystkich zarejestrowanych segmentów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minimalny zakres rozmiaru segmentu: 10-10000 próbek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minimalna liczba segmentów (dla najmniejszej liczby próbek): 10000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Wbudowany analizator protokołów cyfrowych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(Kryterium punktowe)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59" w:before="0" w:after="160"/>
              <w:ind w:left="708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Wbudowany analizator protokołów cyfrowych min. I2C, SPI, UART, CAN, I2S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Tak/Nie</w:t>
            </w:r>
          </w:p>
        </w:tc>
      </w:tr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Wbudowany analizator stanów logicznych (Kryterium punktowe)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spacing w:lineRule="auto" w:line="259" w:before="0" w:after="160"/>
              <w:contextualSpacing/>
              <w:jc w:val="left"/>
              <w:rPr/>
            </w:pPr>
            <w:r>
              <w:rPr>
                <w:b/>
                <w:bCs/>
              </w:rPr>
              <w:t>Wbudowany analizator stanów logicznych: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minimalna liczba kanałów cyfrowych 16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maksymalna częstotliwość sygnałów wejściowych min. 250 MHz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maksymalne napięcie wejściowe ± 20V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Tak/Nie</w:t>
            </w:r>
          </w:p>
        </w:tc>
      </w:tr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bCs/>
              </w:rPr>
              <w:t>9.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Sondy pomiarowe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Sondy pomiarowe, kompatybilna z oscyloskopem:</w:t>
            </w:r>
          </w:p>
          <w:p>
            <w:pPr>
              <w:pStyle w:val="ListParagraph"/>
              <w:spacing w:lineRule="auto" w:line="259" w:before="0" w:after="160"/>
              <w:contextualSpacing/>
              <w:jc w:val="left"/>
              <w:rPr/>
            </w:pPr>
            <w:r>
              <w:rPr/>
              <w:t>a) minimum 4x sondy pasywne o paśmie pracy minimum 500 MHz</w:t>
            </w:r>
          </w:p>
          <w:p>
            <w:pPr>
              <w:pStyle w:val="ListParagraph"/>
              <w:spacing w:lineRule="auto" w:line="259" w:before="0" w:after="160"/>
              <w:contextualSpacing/>
              <w:jc w:val="left"/>
              <w:rPr/>
            </w:pPr>
            <w:r>
              <w:rPr/>
              <w:t xml:space="preserve">b) minimum 1x sonda różnicowa o częstotliwości co najmniej 4 GHz </w:t>
            </w:r>
          </w:p>
          <w:p>
            <w:pPr>
              <w:pStyle w:val="ListParagraph"/>
              <w:spacing w:lineRule="auto" w:line="259" w:before="0" w:after="160"/>
              <w:contextualSpacing/>
              <w:jc w:val="left"/>
              <w:rPr/>
            </w:pPr>
            <w:r>
              <w:rPr/>
              <w:t>c) minimum 1x sonda aktywna wysoko impedancyjna o paśmie minimum 2.5 GHz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a) Oferowany Typ: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  <w:r>
              <w:rPr>
                <w:b/>
                <w:bCs/>
              </w:rPr>
              <w:t>.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Oferowany Model: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  <w:r>
              <w:rPr>
                <w:b/>
                <w:bCs/>
              </w:rPr>
              <w:t>.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b) Oferowany Typ: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  <w:r>
              <w:rPr>
                <w:b/>
                <w:bCs/>
              </w:rPr>
              <w:t>.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Oferowany Model: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  <w:r>
              <w:rPr>
                <w:b/>
                <w:bCs/>
              </w:rPr>
              <w:t>.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c) Oferowany Typ: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  <w:r>
              <w:rPr>
                <w:b/>
                <w:bCs/>
              </w:rPr>
              <w:t>.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Oferowany Model: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  <w:r>
              <w:rPr>
                <w:b/>
                <w:bCs/>
              </w:rPr>
              <w:t>.</w:t>
            </w:r>
          </w:p>
        </w:tc>
      </w:tr>
    </w:tbl>
    <w:p>
      <w:pPr>
        <w:pStyle w:val="Normal"/>
        <w:spacing w:lineRule="auto" w:line="360"/>
        <w:rPr>
          <w:rFonts w:cs="Calibri"/>
          <w:b/>
          <w:b/>
          <w:color w:val="000000"/>
          <w:kern w:val="2"/>
          <w:szCs w:val="22"/>
          <w:lang w:eastAsia="ar-SA"/>
        </w:rPr>
      </w:pPr>
      <w:r>
        <w:rPr>
          <w:rFonts w:cs="Calibri"/>
          <w:b/>
          <w:color w:val="000000"/>
          <w:kern w:val="2"/>
          <w:szCs w:val="22"/>
          <w:lang w:eastAsia="ar-SA"/>
        </w:rPr>
      </w:r>
    </w:p>
    <w:p>
      <w:pPr>
        <w:pStyle w:val="Normal"/>
        <w:spacing w:lineRule="auto" w:line="360"/>
        <w:rPr>
          <w:rFonts w:cs="Calibri"/>
          <w:b/>
          <w:b/>
          <w:color w:val="000000"/>
          <w:kern w:val="2"/>
          <w:szCs w:val="22"/>
          <w:lang w:eastAsia="ar-SA"/>
        </w:rPr>
      </w:pPr>
      <w:r>
        <w:rPr>
          <w:rFonts w:cs="Calibri"/>
          <w:b/>
          <w:color w:val="000000"/>
          <w:kern w:val="2"/>
          <w:szCs w:val="22"/>
          <w:lang w:eastAsia="ar-SA"/>
        </w:rPr>
        <w:t>Rysunek nr 1 do tabeli nr 2.</w:t>
      </w:r>
    </w:p>
    <w:p>
      <w:pPr>
        <w:pStyle w:val="Normal"/>
        <w:spacing w:lineRule="auto" w:line="360"/>
        <w:rPr/>
      </w:pPr>
      <w:r>
        <w:rPr/>
        <w:drawing>
          <wp:inline distT="0" distB="0" distL="0" distR="0">
            <wp:extent cx="4533900" cy="2209800"/>
            <wp:effectExtent l="0" t="0" r="0" b="0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>
          <w:rFonts w:cs="Calibri"/>
          <w:b/>
          <w:b/>
          <w:color w:val="000000"/>
          <w:kern w:val="2"/>
          <w:szCs w:val="22"/>
          <w:lang w:eastAsia="ar-SA"/>
        </w:rPr>
      </w:pPr>
      <w:r>
        <w:rPr>
          <w:rFonts w:cs="Calibri"/>
          <w:b/>
          <w:color w:val="000000"/>
          <w:kern w:val="2"/>
          <w:szCs w:val="22"/>
          <w:lang w:eastAsia="ar-SA"/>
        </w:rPr>
      </w:r>
    </w:p>
    <w:p>
      <w:pPr>
        <w:pStyle w:val="Normal"/>
        <w:spacing w:lineRule="auto" w:line="360"/>
        <w:rPr>
          <w:rFonts w:cs="Calibri"/>
          <w:b/>
          <w:b/>
          <w:color w:val="000000"/>
          <w:kern w:val="2"/>
          <w:szCs w:val="22"/>
          <w:lang w:eastAsia="ar-SA"/>
        </w:rPr>
      </w:pPr>
      <w:r>
        <w:rPr>
          <w:rFonts w:cs="Calibri"/>
          <w:b/>
          <w:color w:val="000000"/>
          <w:kern w:val="2"/>
          <w:szCs w:val="22"/>
          <w:lang w:eastAsia="ar-SA"/>
        </w:rPr>
      </w:r>
    </w:p>
    <w:p>
      <w:pPr>
        <w:pStyle w:val="Normal"/>
        <w:spacing w:lineRule="auto" w:line="360"/>
        <w:rPr>
          <w:rFonts w:cs="Calibri"/>
          <w:b/>
          <w:b/>
          <w:color w:val="000000"/>
          <w:kern w:val="2"/>
          <w:szCs w:val="22"/>
          <w:lang w:eastAsia="ar-SA"/>
        </w:rPr>
      </w:pPr>
      <w:r>
        <w:rPr>
          <w:rFonts w:cs="Calibri"/>
          <w:b/>
          <w:color w:val="000000"/>
          <w:kern w:val="2"/>
          <w:szCs w:val="22"/>
          <w:lang w:eastAsia="ar-SA"/>
        </w:rPr>
      </w:r>
    </w:p>
    <w:p>
      <w:pPr>
        <w:pStyle w:val="Normal"/>
        <w:rPr/>
      </w:pPr>
      <w:r>
        <w:rPr>
          <w:b/>
          <w:color w:val="000000"/>
          <w:sz w:val="24"/>
        </w:rPr>
        <w:t>Tabela 3</w:t>
      </w:r>
      <w:r>
        <w:rPr>
          <w:b/>
          <w:sz w:val="24"/>
        </w:rPr>
        <w:t>. Pozostałe</w:t>
      </w:r>
      <w:r>
        <w:rPr>
          <w:b/>
          <w:color w:val="000000"/>
          <w:sz w:val="24"/>
        </w:rPr>
        <w:t xml:space="preserve"> wymagania stawiane przez Zamawiającego dla obu typów oscyloskopów:</w:t>
      </w:r>
    </w:p>
    <w:tbl>
      <w:tblPr>
        <w:tblW w:w="964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4"/>
        <w:gridCol w:w="3541"/>
        <w:gridCol w:w="3789"/>
        <w:gridCol w:w="1776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  <w:t>Pozostałe wymagania</w:t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cs="Arial" w:ascii="Arial" w:hAnsi="Arial"/>
                <w:color w:val="000000"/>
                <w:u w:val="single"/>
              </w:rPr>
              <w:t>Gwarancji i serwisu: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  <w:t>Wymagany przez Zamawiającego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>Oferowany przez Wykonawcę</w:t>
            </w:r>
            <w:r>
              <w:rPr/>
              <w:t>**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6"/>
                <w:szCs w:val="16"/>
              </w:rPr>
              <w:t>(Wykonawca jest obowiązany potwierdzić lub podać oferowane  parametry)</w:t>
            </w:r>
          </w:p>
        </w:tc>
      </w:tr>
      <w:tr>
        <w:trPr>
          <w:trHeight w:val="807" w:hRule="atLeast"/>
        </w:trPr>
        <w:tc>
          <w:tcPr>
            <w:tcW w:w="5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overflowPunct w:val="true"/>
              <w:spacing w:lineRule="auto" w:line="240" w:before="96" w:after="96"/>
              <w:rPr>
                <w:b w:val="false"/>
                <w:b w:val="false"/>
                <w:color w:val="000000"/>
                <w:sz w:val="20"/>
              </w:rPr>
            </w:pPr>
            <w:r>
              <w:rPr>
                <w:b w:val="false"/>
                <w:color w:val="000000"/>
                <w:sz w:val="20"/>
              </w:rPr>
              <w:t>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 dostarczony przedmiot zamówienia Wykonawca udzieli gwarancji licząc od dnia podpisania protokołu odbioru dla oscyloskopu</w:t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o paśmie analogowym minimum 500 MHz (2 szt.)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Kryterium punktowane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Co najmniej 12 miesięcy</w:t>
            </w:r>
          </w:p>
        </w:tc>
        <w:tc>
          <w:tcPr>
            <w:tcW w:w="17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Oferowany okres: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</w:t>
            </w:r>
            <w:r>
              <w:rPr>
                <w:rFonts w:cs="Arial" w:ascii="Arial" w:hAnsi="Arial"/>
                <w:sz w:val="20"/>
                <w:szCs w:val="20"/>
              </w:rPr>
              <w:t>..</w:t>
            </w:r>
          </w:p>
        </w:tc>
      </w:tr>
      <w:tr>
        <w:trPr>
          <w:trHeight w:val="807" w:hRule="atLeast"/>
        </w:trPr>
        <w:tc>
          <w:tcPr>
            <w:tcW w:w="5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overflowPunct w:val="true"/>
              <w:spacing w:lineRule="auto" w:line="240" w:before="96" w:after="96"/>
              <w:rPr>
                <w:b w:val="false"/>
                <w:b w:val="false"/>
                <w:color w:val="000000"/>
                <w:sz w:val="20"/>
              </w:rPr>
            </w:pPr>
            <w:r>
              <w:rPr>
                <w:b w:val="false"/>
                <w:color w:val="000000"/>
                <w:sz w:val="20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 dostarczony przedmiot zamówienia Wykonawca udzieli gwarancji licząc od dnia podpisania protokołu odbioru dla Oscyloskopu o paśmie minimum 4 GHz, wraz z min. jedną sondą aktywną wysoko impedancyjną, min. jedną sondą aktywną różnicową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Kryterium punktowane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Co najmniej 12 miesięcy</w:t>
            </w:r>
          </w:p>
        </w:tc>
        <w:tc>
          <w:tcPr>
            <w:tcW w:w="17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Oferowany okres: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</w:t>
            </w:r>
            <w:r>
              <w:rPr>
                <w:rFonts w:cs="Arial" w:ascii="Arial" w:hAnsi="Arial"/>
                <w:sz w:val="20"/>
                <w:szCs w:val="20"/>
              </w:rPr>
              <w:t>..</w:t>
            </w:r>
          </w:p>
        </w:tc>
      </w:tr>
      <w:tr>
        <w:trPr/>
        <w:tc>
          <w:tcPr>
            <w:tcW w:w="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overflowPunct w:val="true"/>
              <w:spacing w:lineRule="auto" w:line="240" w:before="96" w:after="96"/>
              <w:rPr>
                <w:b w:val="false"/>
                <w:b w:val="false"/>
                <w:color w:val="000000"/>
                <w:sz w:val="20"/>
              </w:rPr>
            </w:pPr>
            <w:r>
              <w:rPr>
                <w:b w:val="false"/>
                <w:color w:val="000000"/>
                <w:sz w:val="20"/>
              </w:rPr>
              <w:t>3.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Wykonawca potwierdza że w przypadku, gdy naprawa potrwa dłużej niż 3 dni robocze, okres gwarancji zostanie wydłużony o czas przestoju sprzętu</w:t>
            </w:r>
          </w:p>
        </w:tc>
        <w:tc>
          <w:tcPr>
            <w:tcW w:w="37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</w:t>
            </w:r>
          </w:p>
        </w:tc>
        <w:tc>
          <w:tcPr>
            <w:tcW w:w="17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TAK/NIE</w:t>
            </w:r>
          </w:p>
        </w:tc>
      </w:tr>
      <w:tr>
        <w:trPr/>
        <w:tc>
          <w:tcPr>
            <w:tcW w:w="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overflowPunct w:val="true"/>
              <w:spacing w:lineRule="auto" w:line="240" w:before="96" w:after="96"/>
              <w:rPr>
                <w:b w:val="false"/>
                <w:b w:val="false"/>
                <w:color w:val="000000"/>
                <w:sz w:val="20"/>
              </w:rPr>
            </w:pPr>
            <w:r>
              <w:rPr>
                <w:b w:val="false"/>
                <w:color w:val="000000"/>
                <w:sz w:val="20"/>
              </w:rPr>
              <w:t>4.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Wykonawca gwarantuje że w przypadku stwierdzenia wad w wykonanym przedmiocie umowy Wykonawca zobowiązuje się do ich nieodpłatnej wymiany lub usunięcia wad w terminie do 30 dni od daty zgłoszenia</w:t>
            </w:r>
          </w:p>
        </w:tc>
        <w:tc>
          <w:tcPr>
            <w:tcW w:w="37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</w:t>
            </w:r>
          </w:p>
        </w:tc>
        <w:tc>
          <w:tcPr>
            <w:tcW w:w="17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TAK/NIE</w:t>
            </w:r>
          </w:p>
        </w:tc>
      </w:tr>
      <w:tr>
        <w:trPr/>
        <w:tc>
          <w:tcPr>
            <w:tcW w:w="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overflowPunct w:val="true"/>
              <w:spacing w:lineRule="auto" w:line="240" w:before="96" w:after="96"/>
              <w:rPr>
                <w:b w:val="false"/>
                <w:b w:val="false"/>
                <w:color w:val="000000"/>
                <w:sz w:val="20"/>
              </w:rPr>
            </w:pPr>
            <w:r>
              <w:rPr>
                <w:b w:val="false"/>
                <w:color w:val="000000"/>
                <w:sz w:val="20"/>
              </w:rPr>
              <w:t>5.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Wykonawca potwierdza że podczas trwania okresu gwarancji odbierze i dostarczy urządzenie na własny koszt jeśli naprawa nie będzie możliwa w siedzibie Zamawiającego</w:t>
            </w:r>
          </w:p>
        </w:tc>
        <w:tc>
          <w:tcPr>
            <w:tcW w:w="37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</w:t>
            </w:r>
          </w:p>
        </w:tc>
        <w:tc>
          <w:tcPr>
            <w:tcW w:w="17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TAK/NIE</w:t>
            </w:r>
          </w:p>
        </w:tc>
      </w:tr>
      <w:tr>
        <w:trPr/>
        <w:tc>
          <w:tcPr>
            <w:tcW w:w="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overflowPunct w:val="true"/>
              <w:spacing w:lineRule="auto" w:line="240" w:before="96" w:after="96"/>
              <w:rPr>
                <w:b w:val="false"/>
                <w:b w:val="false"/>
                <w:color w:val="000000"/>
                <w:sz w:val="20"/>
              </w:rPr>
            </w:pPr>
            <w:r>
              <w:rPr>
                <w:b w:val="false"/>
                <w:color w:val="000000"/>
                <w:sz w:val="20"/>
              </w:rPr>
              <w:t>6.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Wykonawca potwierdza że Przedmiot zamówienia, jest  fabrycznie nowy wolny od wad materiałowych i prawnych</w:t>
            </w:r>
          </w:p>
        </w:tc>
        <w:tc>
          <w:tcPr>
            <w:tcW w:w="37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</w:t>
            </w:r>
          </w:p>
        </w:tc>
        <w:tc>
          <w:tcPr>
            <w:tcW w:w="17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TAK/NIE</w:t>
            </w:r>
          </w:p>
        </w:tc>
      </w:tr>
      <w:tr>
        <w:trPr/>
        <w:tc>
          <w:tcPr>
            <w:tcW w:w="5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overflowPunct w:val="true"/>
              <w:spacing w:lineRule="auto" w:line="240" w:before="96" w:after="96"/>
              <w:rPr>
                <w:b w:val="false"/>
                <w:b w:val="false"/>
                <w:color w:val="000000"/>
                <w:sz w:val="20"/>
              </w:rPr>
            </w:pPr>
            <w:r>
              <w:rPr>
                <w:b w:val="false"/>
                <w:color w:val="000000"/>
                <w:sz w:val="20"/>
              </w:rPr>
              <w:t>7.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Wykonawca zapewnia że dostarczony oscyloskop będzie zawierać wszystkie niezbędne elementy umożliwiające rozpoczęcie pracy takie jak oprogramowanie, sterowniki, kable, itp.</w:t>
            </w:r>
          </w:p>
        </w:tc>
        <w:tc>
          <w:tcPr>
            <w:tcW w:w="37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</w:t>
            </w:r>
          </w:p>
        </w:tc>
        <w:tc>
          <w:tcPr>
            <w:tcW w:w="17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TAK/NIE</w:t>
            </w:r>
          </w:p>
        </w:tc>
      </w:tr>
      <w:tr>
        <w:trPr/>
        <w:tc>
          <w:tcPr>
            <w:tcW w:w="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overflowPunct w:val="true"/>
              <w:spacing w:lineRule="auto" w:line="240" w:before="96" w:after="96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8.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Wykonawca potwierdza że przedmiot zamówienia spełnia wymagania wynikające z przepisów bezpieczeństwa i higieny pracy oraz wymagania i normy określone w opisach technicznych</w:t>
            </w:r>
          </w:p>
        </w:tc>
        <w:tc>
          <w:tcPr>
            <w:tcW w:w="37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</w:t>
            </w:r>
          </w:p>
        </w:tc>
        <w:tc>
          <w:tcPr>
            <w:tcW w:w="17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TAK/NIE</w:t>
            </w:r>
          </w:p>
        </w:tc>
      </w:tr>
      <w:tr>
        <w:trPr/>
        <w:tc>
          <w:tcPr>
            <w:tcW w:w="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overflowPunct w:val="true"/>
              <w:spacing w:lineRule="auto" w:line="240" w:before="96" w:after="96"/>
              <w:rPr>
                <w:b w:val="false"/>
                <w:b w:val="false"/>
                <w:color w:val="000000"/>
                <w:sz w:val="20"/>
              </w:rPr>
            </w:pPr>
            <w:r>
              <w:rPr>
                <w:b w:val="false"/>
                <w:color w:val="000000"/>
                <w:sz w:val="20"/>
              </w:rPr>
              <w:t>9.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  <w:sz w:val="20"/>
                <w:szCs w:val="20"/>
              </w:rPr>
              <w:t>Przedmiot zamówienia powinien być dostarczony do Zamawiającego tj.:</w:t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Rektorska 4, 00-614 Warszawa, pokój 5.06</w:t>
            </w:r>
          </w:p>
        </w:tc>
        <w:tc>
          <w:tcPr>
            <w:tcW w:w="37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</w:t>
            </w:r>
          </w:p>
        </w:tc>
        <w:tc>
          <w:tcPr>
            <w:tcW w:w="17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TAK/NIE</w:t>
            </w:r>
          </w:p>
        </w:tc>
      </w:tr>
    </w:tbl>
    <w:p>
      <w:pPr>
        <w:pStyle w:val="Normal"/>
        <w:spacing w:lineRule="auto" w:line="360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</w:r>
    </w:p>
    <w:p>
      <w:pPr>
        <w:pStyle w:val="Normal"/>
        <w:spacing w:lineRule="auto" w:line="360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* Niespełnienie któregokolwiek z wymaganych przez Zamawiającego elementów zamówienia będzie skutkowało odrzuceniem oferty na podstawie art. 89 ust.1 pkt. 2 ustawy Pzp.</w:t>
      </w:r>
    </w:p>
    <w:p>
      <w:pPr>
        <w:pStyle w:val="Normal"/>
        <w:spacing w:lineRule="auto" w:line="360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** Zaznaczyć właściwe. Brak zaznaczenie będzie traktowany jako brak zaoferowania dodatkowej usługi aktualizacji.</w:t>
      </w:r>
    </w:p>
    <w:tbl>
      <w:tblPr>
        <w:tblW w:w="906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360" w:before="600" w:after="0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cs="Calibri" w:ascii="Arial" w:hAnsi="Arial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360" w:before="600" w:after="0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cs="Calibri" w:ascii="Arial" w:hAnsi="Arial"/>
                <w:szCs w:val="22"/>
                <w:lang w:eastAsia="en-US"/>
              </w:rPr>
              <w:t>…………………………………………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cs="Calibri" w:ascii="Arial" w:hAnsi="Arial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cs="Calibri" w:ascii="Arial" w:hAnsi="Arial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Calibri"/>
                <w:i/>
                <w:i/>
                <w:iCs/>
                <w:lang w:eastAsia="en-US"/>
              </w:rPr>
            </w:pPr>
            <w:r>
              <w:rPr>
                <w:rFonts w:cs="Calibri" w:ascii="Arial" w:hAnsi="Arial"/>
                <w:i/>
                <w:iCs/>
                <w:szCs w:val="22"/>
                <w:lang w:eastAsia="en-US"/>
              </w:rPr>
              <w:t>(podpis i pieczęć osoby upoważnionej do reprezentacji Wykonawcy)</w:t>
            </w:r>
          </w:p>
        </w:tc>
      </w:tr>
    </w:tbl>
    <w:p>
      <w:pPr>
        <w:pStyle w:val="Normal"/>
        <w:spacing w:lineRule="auto" w:line="360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agwek1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caps/>
      </w:rPr>
      <w:fldChar w:fldCharType="begin"/>
    </w:r>
    <w:r>
      <w:rPr>
        <w:caps/>
      </w:rPr>
      <w:instrText> PAGE </w:instrText>
    </w:r>
    <w:r>
      <w:rPr>
        <w:caps/>
      </w:rPr>
      <w:fldChar w:fldCharType="separate"/>
    </w:r>
    <w:r>
      <w:rPr>
        <w:caps/>
      </w:rPr>
      <w:t>11</w:t>
    </w:r>
    <w:r>
      <w:rPr>
        <w:caps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6065520" cy="841375"/>
          <wp:effectExtent l="0" t="0" r="0" b="0"/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b/>
        <w:bCs/>
        <w:sz w:val="20"/>
        <w:szCs w:val="20"/>
      </w:rPr>
      <w:t>Specyfikacja Istotnych Warunków Zamówienia</w:t>
    </w:r>
  </w:p>
  <w:p>
    <w:pPr>
      <w:pStyle w:val="Normal"/>
      <w:tabs>
        <w:tab w:val="center" w:pos="4536" w:leader="none"/>
        <w:tab w:val="right" w:pos="9072" w:leader="none"/>
      </w:tabs>
      <w:jc w:val="center"/>
      <w:rPr>
        <w:sz w:val="20"/>
        <w:szCs w:val="20"/>
        <w:lang w:eastAsia="ja-JP"/>
      </w:rPr>
    </w:pPr>
    <w:r>
      <w:rPr>
        <w:sz w:val="20"/>
        <w:szCs w:val="20"/>
        <w:lang w:eastAsia="ja-JP"/>
      </w:rPr>
      <w:t>___________________________________________________________________________________________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2878"/>
    <w:pPr>
      <w:widowControl/>
      <w:bidi w:val="0"/>
      <w:spacing w:lineRule="auto" w:line="288"/>
      <w:jc w:val="both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4"/>
      <w:lang w:eastAsia="pl-PL" w:val="pl-PL" w:bidi="ar-SA"/>
    </w:rPr>
  </w:style>
  <w:style w:type="paragraph" w:styleId="Nagwek1">
    <w:name w:val="Heading 1"/>
    <w:basedOn w:val="Normal"/>
    <w:link w:val="Nagwek1Znak"/>
    <w:autoRedefine/>
    <w:qFormat/>
    <w:rsid w:val="00a22878"/>
    <w:pPr>
      <w:spacing w:lineRule="auto" w:line="360"/>
      <w:outlineLvl w:val="0"/>
    </w:pPr>
    <w:rPr>
      <w:rFonts w:cs="Arial Narrow"/>
      <w:b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22878"/>
    <w:rPr>
      <w:rFonts w:ascii="Calibri" w:hAnsi="Calibri" w:eastAsia="Times New Roman" w:cs="Arial Narrow"/>
      <w:b/>
    </w:rPr>
  </w:style>
  <w:style w:type="character" w:styleId="TekstpodstawowyZnak" w:customStyle="1">
    <w:name w:val="Tekst podstawowy Znak"/>
    <w:basedOn w:val="DefaultParagraphFont"/>
    <w:link w:val="Tekstpodstawowy"/>
    <w:qFormat/>
    <w:rsid w:val="00a22878"/>
    <w:rPr>
      <w:rFonts w:ascii="Arial" w:hAnsi="Arial" w:eastAsia="Times New Roman" w:cs="Arial"/>
      <w:b/>
      <w:bCs/>
      <w:i/>
      <w:iCs/>
      <w:szCs w:val="24"/>
      <w:lang w:eastAsia="ja-JP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22878"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22878"/>
    <w:rPr>
      <w:rFonts w:ascii="Calibri" w:hAnsi="Calibri" w:eastAsia="Times New Roman" w:cs="Times New Roman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22878"/>
    <w:rPr>
      <w:rFonts w:ascii="Calibri" w:hAnsi="Calibri" w:eastAsia="Times New Roman" w:cs="Times New Roman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287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2878"/>
    <w:rPr>
      <w:rFonts w:ascii="Calibri" w:hAnsi="Calibri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2878"/>
    <w:rPr>
      <w:rFonts w:ascii="Calibri" w:hAnsi="Calibri" w:eastAsia="Times New Roman" w:cs="Times New Roman"/>
      <w:b/>
      <w:bCs/>
      <w:sz w:val="20"/>
      <w:szCs w:val="20"/>
      <w:lang w:eastAsia="pl-PL"/>
    </w:rPr>
  </w:style>
  <w:style w:type="character" w:styleId="ListLabel1" w:customStyle="1">
    <w:name w:val="ListLabel 1"/>
    <w:qFormat/>
    <w:rPr>
      <w:rFonts w:cs="Symbol"/>
      <w:b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  <w:b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OpenSymbol"/>
      <w:b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>
    <w:name w:val="ListLabel 37"/>
    <w:qFormat/>
    <w:rPr>
      <w:rFonts w:cs="Symbol"/>
      <w:b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b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Tretekstu">
    <w:name w:val="Body Text"/>
    <w:basedOn w:val="Normal"/>
    <w:link w:val="TekstpodstawowyZnak"/>
    <w:rsid w:val="00a22878"/>
    <w:pPr/>
    <w:rPr>
      <w:rFonts w:ascii="Arial" w:hAnsi="Arial" w:cs="Arial"/>
      <w:b/>
      <w:bCs/>
      <w:i/>
      <w:iCs/>
      <w:lang w:eastAsia="ja-JP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link w:val="NagwekZnak"/>
    <w:uiPriority w:val="99"/>
    <w:unhideWhenUsed/>
    <w:rsid w:val="00a22878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ListParagraph">
    <w:name w:val="List Paragraph"/>
    <w:basedOn w:val="Normal"/>
    <w:qFormat/>
    <w:rsid w:val="00a22878"/>
    <w:pPr>
      <w:ind w:left="708" w:hanging="0"/>
    </w:pPr>
    <w:rPr/>
  </w:style>
  <w:style w:type="paragraph" w:styleId="Zwykytekst1" w:customStyle="1">
    <w:name w:val="Zwykły tekst1"/>
    <w:basedOn w:val="Normal"/>
    <w:qFormat/>
    <w:rsid w:val="00a22878"/>
    <w:pPr>
      <w:suppressAutoHyphens w:val="true"/>
      <w:spacing w:lineRule="auto" w:line="240"/>
      <w:jc w:val="left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2878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a22878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287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2287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DB90-DC3A-470B-ABE3-3DE30CA9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5</Pages>
  <Words>1669</Words>
  <Characters>10436</Characters>
  <CharactersWithSpaces>11864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2019-12-16T19:37:00Z</dcterms:created>
  <dc:creator>Łukasz Radzikowski</dc:creator>
  <dc:description/>
  <dc:language>pl-PL</dc:language>
  <cp:lastModifiedBy>Łukasz Radzikowski</cp:lastModifiedBy>
  <cp:lastPrinted>2019-12-12T14:31:00Z</cp:lastPrinted>
  <dcterms:modified xsi:type="dcterms:W3CDTF">2019-12-16T19:37:00Z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