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SIWZ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Nazwa:</w:t>
        <w:tab/>
        <w:tab/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Adres: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ind w:left="709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e-mail:</w:t>
        <w:tab/>
        <w:tab/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Tel.: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Normal"/>
        <w:spacing w:lineRule="auto" w:line="312" w:before="120" w:after="1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 xml:space="preserve">ePUAP: </w:t>
        <w:tab/>
        <w:tab/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 (nazwa i adres wykonawcy)</w:t>
      </w:r>
      <w:r>
        <w:rPr>
          <w:rStyle w:val="FootnoteCharacters"/>
          <w:rStyle w:val="Zakotwiczenieprzypisudolnego"/>
          <w:rFonts w:ascii="Arial Narrow" w:hAnsi="Arial Narrow"/>
          <w:sz w:val="22"/>
          <w:szCs w:val="22"/>
        </w:rPr>
        <w:footnoteReference w:id="2"/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 w:before="120" w:after="160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OFERTA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W postępowaniu o udzielenie zamówienia publicznego prowadzonym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przez </w:t>
      </w:r>
      <w:r>
        <w:rPr>
          <w:rFonts w:cs="Calibri" w:ascii="Arial Narrow" w:hAnsi="Arial Narrow"/>
          <w:sz w:val="22"/>
          <w:szCs w:val="22"/>
        </w:rPr>
        <w:t>Centrum Astronomiczne im. M. Kopernika PAN, ul. Bartycka 18, 00–716 Warszawa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na</w:t>
      </w:r>
      <w:r>
        <w:rPr>
          <w:rFonts w:ascii="Arial Narrow" w:hAnsi="Arial Narrow"/>
          <w:sz w:val="22"/>
          <w:szCs w:val="22"/>
        </w:rPr>
        <w:t xml:space="preserve"> „</w:t>
      </w:r>
      <w:sdt>
        <w:sdtPr>
          <w:id w:val="520323350"/>
        </w:sdtPr>
        <w:sdtContent>
          <w:r>
            <w:rPr>
              <w:rFonts w:ascii="Arial Narrow" w:hAnsi="Arial Narrow"/>
              <w:b/>
              <w:bCs/>
              <w:color w:val="000000" w:themeColor="text1"/>
              <w:sz w:val="22"/>
              <w:szCs w:val="22"/>
              <w:shd w:fill="FFFFFF" w:val="clear"/>
            </w:rPr>
            <w:t>Dostawę komputerów i części komputerowych</w:t>
          </w:r>
        </w:sdtContent>
      </w:sdt>
      <w:r>
        <w:rPr>
          <w:rFonts w:ascii="Arial Narrow" w:hAnsi="Arial Narrow"/>
          <w:b/>
          <w:color w:val="000000" w:themeColor="text1"/>
          <w:sz w:val="22"/>
          <w:szCs w:val="22"/>
          <w:shd w:fill="FFFFFF" w:val="clear"/>
        </w:rPr>
        <w:t>”</w:t>
      </w: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oferujemy zgodnie z wymaganiami zawartymi w SIWZ, na warunkach określonych we wzorze umowy, zgodnie z przepisami obowi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zuj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cymi w Rzeczypospolitej Polskiej, wykonanie tego zamówienia za poniższą cenę: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 xml:space="preserve">Tabela 1. TABELA KOSZTORYSOWA: 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I*: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"/>
        <w:gridCol w:w="2036"/>
        <w:gridCol w:w="748"/>
        <w:gridCol w:w="1219"/>
        <w:gridCol w:w="1239"/>
        <w:gridCol w:w="1"/>
        <w:gridCol w:w="885"/>
        <w:gridCol w:w="1"/>
        <w:gridCol w:w="831"/>
        <w:gridCol w:w="1"/>
        <w:gridCol w:w="759"/>
        <w:gridCol w:w="1"/>
        <w:gridCol w:w="883"/>
      </w:tblGrid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2*: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1790"/>
        <w:gridCol w:w="733"/>
        <w:gridCol w:w="1292"/>
        <w:gridCol w:w="1314"/>
        <w:gridCol w:w="1"/>
        <w:gridCol w:w="924"/>
        <w:gridCol w:w="1"/>
        <w:gridCol w:w="849"/>
        <w:gridCol w:w="1"/>
        <w:gridCol w:w="759"/>
        <w:gridCol w:w="1"/>
        <w:gridCol w:w="1"/>
        <w:gridCol w:w="925"/>
      </w:tblGrid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3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3*: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"/>
        <w:gridCol w:w="2034"/>
        <w:gridCol w:w="747"/>
        <w:gridCol w:w="1220"/>
        <w:gridCol w:w="1240"/>
        <w:gridCol w:w="885"/>
        <w:gridCol w:w="830"/>
        <w:gridCol w:w="761"/>
        <w:gridCol w:w="886"/>
      </w:tblGrid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</w:r>
    </w:p>
    <w:p>
      <w:pPr>
        <w:pStyle w:val="Normal"/>
        <w:spacing w:before="120" w:after="160"/>
        <w:jc w:val="both"/>
        <w:rPr>
          <w:rFonts w:ascii="Arial Narrow" w:hAnsi="Arial Narrow" w:eastAsia="Calibri" w:cs="Arial"/>
          <w:sz w:val="22"/>
          <w:szCs w:val="22"/>
        </w:rPr>
      </w:pPr>
      <w:r>
        <w:rPr>
          <w:rFonts w:eastAsia="Calibri" w:cs="Arial" w:ascii="Arial Narrow" w:hAnsi="Arial Narrow"/>
          <w:sz w:val="22"/>
          <w:szCs w:val="22"/>
        </w:rPr>
        <w:t>Dla części 4*:</w:t>
      </w:r>
    </w:p>
    <w:tbl>
      <w:tblPr>
        <w:tblStyle w:val="Tabela-Siatka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"/>
        <w:gridCol w:w="2034"/>
        <w:gridCol w:w="747"/>
        <w:gridCol w:w="1220"/>
        <w:gridCol w:w="1240"/>
        <w:gridCol w:w="885"/>
        <w:gridCol w:w="830"/>
        <w:gridCol w:w="761"/>
        <w:gridCol w:w="886"/>
      </w:tblGrid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Przedmiot zamówienia (proszę podać typ i model)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jednostkowa netto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(bez VAT)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Liczba oferowanych jednostek miary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(bez VAT)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4x5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Stawka VAT (%)*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Kwota VAT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6x7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 xml:space="preserve">Wartość brutto </w:t>
            </w:r>
          </w:p>
          <w:p>
            <w:pPr>
              <w:pStyle w:val="Normal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(z VAT) w PLN</w:t>
            </w:r>
          </w:p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6+8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9</w:t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val="en-US" w:eastAsia="pl-PL"/>
              </w:rPr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color w:val="000000" w:themeColor="text1"/>
                <w:sz w:val="22"/>
                <w:szCs w:val="22"/>
                <w:lang w:eastAsia="pl-PL"/>
              </w:rPr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7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Wartość netto (należy dodać do siebie poszczególne pozycje z kolumny 6)</w:t>
            </w:r>
          </w:p>
        </w:tc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7424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76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x</w:t>
            </w:r>
          </w:p>
        </w:tc>
      </w:tr>
      <w:tr>
        <w:trPr/>
        <w:tc>
          <w:tcPr>
            <w:tcW w:w="818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eastAsia="Calibri" w:cs="Arial" w:ascii="Arial Narrow" w:hAnsi="Arial Narrow"/>
                <w:sz w:val="22"/>
                <w:szCs w:val="22"/>
                <w:lang w:eastAsia="pl-PL"/>
              </w:rPr>
              <w:t>Cena (należy dodać do siebie poszczególne pozycje z kolumny 9)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mbria" w:hAnsi="Cambria"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40" w:after="160"/>
        <w:rPr>
          <w:rFonts w:ascii="Arial Narrow" w:hAnsi="Arial Narrow" w:eastAsia="Calibri"/>
          <w:sz w:val="22"/>
          <w:szCs w:val="22"/>
          <w:lang w:eastAsia="ar-SA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oferty netto (słownie):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eastAsia="Calibri" w:ascii="Arial Narrow" w:hAnsi="Arial Narrow"/>
          <w:sz w:val="22"/>
          <w:szCs w:val="22"/>
          <w:lang w:eastAsia="ar-SA"/>
        </w:rPr>
        <w:t>Razem wartość brutto tj. cena (słownie):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Normal"/>
        <w:spacing w:lineRule="auto" w:line="360"/>
        <w:jc w:val="both"/>
        <w:rPr>
          <w:rFonts w:ascii="Arial Narrow" w:hAnsi="Arial Narrow" w:eastAsia="Calibri" w:cs="Arial"/>
          <w:i/>
          <w:i/>
          <w:iCs/>
          <w:color w:val="000000"/>
          <w:sz w:val="22"/>
          <w:szCs w:val="22"/>
        </w:rPr>
      </w:pPr>
      <w:r>
        <w:rPr>
          <w:rFonts w:eastAsia="Calibri" w:cs="Arial" w:ascii="Arial Narrow" w:hAnsi="Arial Narrow"/>
          <w:i/>
          <w:iCs/>
          <w:color w:val="000000"/>
          <w:sz w:val="22"/>
          <w:szCs w:val="22"/>
        </w:rPr>
        <w:t>* Wykonawca wypełnia tylko tabele odnoszące się do części postępowania, na którą/e składa ofertę/y.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Gdy Wykonawca nie jest zobowiązany do naliczenia VAT, w kolumnie 9 (wartość brutto), należy wpisać kwotę z kolumny 6 (wartość netto).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 xml:space="preserve">Gdy Wykonawca ma siedzibę lub miejsce zamieszkania poza terytorium Rzeczypospolitej Polskiej, wypełnia tabele kosztorysowa do kolumny 6.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Wykonawca składając ofertę jest zobowiązany poinformować w niej Zamawiającego czy wybór oferty będzie prowadził do powstania u zamawiającego obowiązku podatkowego, wskazując nazwę (rodzaj) towaru usługi, których dostawa lub świadczenie będzie prowadzić do jego powstania, oraz wskazać ich wartość bez kwoty podatku.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Jeżeli wybór oferty będzie prowadził do powstania u Zamawiającego obowiązku podatkowego, zgodnie z przepisami o podatku od towarów i usług Wykonawca w pozycji, której dotyczy, nie wykazuje stawki i kwoty VAT, lecz zamiast tego umieszcza w niej adnotację „odwrotnie obciążenie”.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160"/>
        <w:ind w:left="0" w:hanging="0"/>
        <w:jc w:val="both"/>
        <w:rPr>
          <w:rFonts w:ascii="Arial Narrow" w:hAnsi="Arial Narrow" w:eastAsia="Calibri" w:cs="Arial"/>
          <w:color w:val="000000"/>
          <w:sz w:val="22"/>
          <w:szCs w:val="22"/>
        </w:rPr>
      </w:pPr>
      <w:r>
        <w:rPr>
          <w:rFonts w:eastAsia="Calibri" w:cs="Arial" w:ascii="Arial Narrow" w:hAnsi="Arial Narrow"/>
          <w:color w:val="000000"/>
          <w:sz w:val="22"/>
          <w:szCs w:val="22"/>
        </w:rPr>
        <w:t>UWAGA! Wykonawca zobowiązany jest podać podstawę prawną zastosowania stawki podatku VAT innej niż stawka podstawowa lub zwolnienia z ww. podatku.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jesteśmy związani ofertą przez </w:t>
      </w:r>
      <w:r>
        <w:rPr>
          <w:rFonts w:ascii="Arial Narrow" w:hAnsi="Arial Narrow"/>
          <w:b/>
          <w:sz w:val="22"/>
          <w:szCs w:val="22"/>
        </w:rPr>
        <w:t>60 dni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cs="Arial" w:ascii="Arial Narrow" w:hAnsi="Arial Narrow"/>
          <w:color w:val="000000" w:themeColor="text1"/>
          <w:sz w:val="22"/>
          <w:szCs w:val="22"/>
        </w:rPr>
        <w:t xml:space="preserve">Oświadczamy, że oferujemy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dostawę komputerów i sprzętu komputerowego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wraz z wymaganymi akcesoriami i oprogramowaniem, o oferowany przedmiot zamówienia </w:t>
      </w:r>
      <w:r>
        <w:rPr>
          <w:rFonts w:cs="Arial" w:ascii="Arial Narrow" w:hAnsi="Arial Narrow"/>
          <w:color w:val="000000" w:themeColor="text1"/>
          <w:sz w:val="22"/>
          <w:szCs w:val="22"/>
        </w:rPr>
        <w:t>posiada wszystkie funkcjonalności mające znaczenie dla oceny oferty oraz spełnia wszystkie wymogi i parametry wskazane poniżej: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/>
          <w:i/>
          <w:i/>
          <w:color w:val="000000" w:themeColor="text1"/>
          <w:sz w:val="22"/>
          <w:szCs w:val="22"/>
        </w:rPr>
      </w:pPr>
      <w:r>
        <w:rPr>
          <w:rFonts w:ascii="Arial Narrow" w:hAnsi="Arial Narrow"/>
          <w:i/>
          <w:color w:val="000000" w:themeColor="text1"/>
          <w:kern w:val="2"/>
          <w:sz w:val="22"/>
          <w:szCs w:val="22"/>
          <w:lang w:eastAsia="ar-SA"/>
        </w:rPr>
        <w:t>Zamawiający wymaga dla każdego oferowanego produktu, programu lub systemu komputerowego podania pełnej nazwy producenta i produktu wraz z numerem katalogowym (jeśli występuje). Jeśli oferowany produkt składa się z części (np. urządzenia, zestawy komputerowe, pakiety oprogramowania), należy opisać wskazane w specyfikacji elementy oddzielnie (np. dysk, procesor).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  <w:t xml:space="preserve">Zamawiający wymaga tego obowiązkowo wyłącznie dla pozycji, </w:t>
      </w:r>
      <w:r>
        <w:rPr>
          <w:rFonts w:eastAsia="Calibri" w:ascii="Arial Narrow" w:hAnsi="Arial Narrow"/>
          <w:b/>
          <w:i/>
          <w:sz w:val="22"/>
          <w:szCs w:val="22"/>
          <w:u w:val="single"/>
          <w:lang w:eastAsia="en-US"/>
        </w:rPr>
        <w:t>które wskazał</w:t>
      </w:r>
      <w:r>
        <w:rPr>
          <w:rFonts w:eastAsia="Calibri" w:ascii="Arial Narrow" w:hAnsi="Arial Narrow"/>
          <w:i/>
          <w:sz w:val="22"/>
          <w:szCs w:val="22"/>
          <w:lang w:eastAsia="en-US"/>
        </w:rPr>
        <w:t xml:space="preserve"> w opisie przedmiotu zamówienia.</w:t>
      </w:r>
    </w:p>
    <w:p>
      <w:pPr>
        <w:pStyle w:val="Normal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426" w:leader="none"/>
        </w:tabs>
        <w:suppressAutoHyphens w:val="true"/>
        <w:spacing w:lineRule="auto" w:line="276" w:before="60" w:after="60"/>
        <w:ind w:left="0" w:hanging="0"/>
        <w:jc w:val="both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WYMAGANIA TECHNICZNE NA POSZCZEGÓLNE SKŁADNIKI PRZEDMIOTU ZAMÓWIENIA DLA CZESCI I-IV *</w:t>
      </w:r>
    </w:p>
    <w:p>
      <w:pPr>
        <w:pStyle w:val="ListParagraph"/>
        <w:widowControl w:val="false"/>
        <w:tabs>
          <w:tab w:val="left" w:pos="426" w:leader="none"/>
        </w:tabs>
        <w:suppressAutoHyphens w:val="true"/>
        <w:spacing w:lineRule="auto" w:line="276" w:before="60" w:after="60"/>
        <w:ind w:left="0" w:hanging="0"/>
        <w:jc w:val="both"/>
        <w:rPr>
          <w:rFonts w:ascii="Arial Narrow" w:hAnsi="Arial Narrow"/>
          <w:b/>
          <w:b/>
          <w:bCs/>
          <w:kern w:val="2"/>
          <w:sz w:val="22"/>
          <w:szCs w:val="22"/>
          <w:u w:val="single"/>
          <w:lang w:eastAsia="ar-SA"/>
        </w:rPr>
      </w:pPr>
      <w:r>
        <w:rPr>
          <w:rFonts w:ascii="Arial Narrow" w:hAnsi="Arial Narrow"/>
          <w:b/>
          <w:bCs/>
          <w:kern w:val="2"/>
          <w:sz w:val="22"/>
          <w:szCs w:val="22"/>
          <w:u w:val="single"/>
          <w:lang w:eastAsia="ar-SA"/>
        </w:rPr>
        <w:t>Wykonawca wypełnia tylko tabele odnoszące się do części postępowania, na które składa ofertę.</w:t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  <w:lang w:eastAsia="en-US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</w:r>
    </w:p>
    <w:p>
      <w:pPr>
        <w:pStyle w:val="Normal"/>
        <w:jc w:val="both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bookmarkStart w:id="0" w:name="__DdeLink__236_2078150179"/>
      <w:bookmarkStart w:id="1" w:name="_Hlk25827102"/>
      <w:bookmarkEnd w:id="0"/>
      <w:bookmarkEnd w:id="1"/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1</w:t>
      </w:r>
    </w:p>
    <w:p>
      <w:pPr>
        <w:pStyle w:val="Normal"/>
        <w:jc w:val="both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bookmarkStart w:id="2" w:name="_Hlk25827102"/>
      <w:bookmarkEnd w:id="2"/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  <w:bookmarkStart w:id="3" w:name="_Hlk31197882"/>
      <w:bookmarkStart w:id="4" w:name="_Hlk25829225"/>
      <w:bookmarkEnd w:id="3"/>
      <w:bookmarkEnd w:id="4"/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20"/>
        <w:gridCol w:w="2714"/>
        <w:gridCol w:w="2918"/>
        <w:gridCol w:w="2719"/>
      </w:tblGrid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Laptop wysokowydajny 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– 4 szt.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Laptop do zastosowań naukowych o dużej mocy obliczeniowej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  <w:bookmarkStart w:id="5" w:name="_Hlk25827462"/>
            <w:bookmarkEnd w:id="5"/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Procesor: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co najmniej 8 dwuwątkowych rdzeni obliczeniowych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taktowanie: min.  2.3 GHz, z automatycznym przetaktowaniem do min. 4.5 GHz przy pracy jednordzeniowej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zintegrowany procesor graficzny, obsługujący standardy: OpenCL min. 2.1, DirectX 12 i Vulkan 1.1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obsługiwane zestawy instrukcji: wektorowe AVX 2.0, wirtualizacji VT-x/VT-d/EPT, unikania blokad TSX, wspomagania kryptografii AES,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sprzętowy generator liczb losowych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Pamięć RAM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rodzaj: DDR4, min. 2666 GHz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liczba modułów: równa liczbie kanałów pamięci procesora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możliwość rozbudowy do min. 64 GB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sz w:val="22"/>
                <w:szCs w:val="22"/>
              </w:rPr>
              <w:t>Kryterium punktowane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wymagana przez Zamawiającego pojemość pamięci RAM min. 32 GB – 0 punktów;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zwiększenie pamięci RAM do 64 GB – 15 punktów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FF0000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pojemność: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>
          <w:trHeight w:val="1093" w:hRule="atLeas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Karta graficzna, przewidziana jako akcelerator obliczeń GPU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technologie: Compute Unified Device Architecture (CUDA) oraz Ray Tracing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parametr Compute Capability: co najmniej 7.5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co najmniej 2000 rdzeni CUDA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wyposażony w co najmniej 8 GB własnej pamięci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Ekran: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przekątna – 15.6±0.2”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bez obsługi dotykowej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matowy lub z powłoką antyrefleksyjną 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rozdzielczość nominalna: 3840×2160 pikseli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Pamięć masowa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dwa dyski SSD z interfejsem M.2 PCIe×4: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pojemność: dysk nr 1 – min. 1 TB, dysk nr 2 – min. 2 TB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osiągalne prędkości odczytu/zapisu przy dostępie sekwencyjnym: odpowiednio 3000/2000 MB/s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osiągalne prędkości odczytu/zapisu przy dostępie losowym: 400/300 tys. operacji we/wy na sekundę (4kB, QD32)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parametry niezawodnościowe: MTBF min. 1,5 mln godz., trwałość: dysk nr 1 – min. 600 TBW, dysk nr 2 – min. 1200 TBW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sprzętowa obsługa szyfrowania (AES 256 bitowy, TCG Opal IEEE 1667)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 dysk 1: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 1: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 dysk 2: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 2: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 sieci przewodowej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 xml:space="preserve">Przynajmniej </w:t>
            </w:r>
            <w:r>
              <w:rPr>
                <w:rFonts w:eastAsia="" w:ascii="Arial Narrow" w:hAnsi="Arial Narrow" w:eastAsiaTheme="minorEastAsia"/>
                <w:sz w:val="22"/>
                <w:szCs w:val="22"/>
              </w:rPr>
              <w:t>1000 Mb/s (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Gigabit Ethernet), ze złączem RJ45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Przepustowość karty: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wbudowana bezprzewodowa karta sieciowa w standardzie min. 802.11 n/ac,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wbudowany interfejs Bluetooth w wersji 5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standardy sieci bezprzewodowej: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 interfejsu Bluetooth: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monitora – co najmniej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HDMI, 2×DisplayPort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(dopuszcza się gniazda w wersji mini oraz wyprowadzenie jednego gniazda DisplayPort przez złącze USB typu C)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Thunderbolt3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jedno, z gniazdem typu C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USB 3.2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trzy z gniazdem typu A, w tym co najmniej jedno złącze Gen2 (10Gbps)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układ amerykański, podświetlana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Waga: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2 kg (bez zasilacza, z baterią)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Obudowa: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wykonana z metalu (aluminium lub stopy magnezu)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operacyjny: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w wersji 64 bitowej, 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wersji wielojęzycznej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zawierający możliwość podłączenia do domeny </w:t>
            </w:r>
            <w:bookmarkStart w:id="6" w:name="_GoBack"/>
            <w:r>
              <w:rPr>
                <w:rFonts w:cs="Arial" w:ascii="Arial Narrow" w:hAnsi="Arial Narrow"/>
                <w:bCs/>
                <w:sz w:val="22"/>
                <w:szCs w:val="22"/>
              </w:rPr>
              <w:t>Active</w:t>
            </w:r>
            <w:bookmarkEnd w:id="6"/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Directory lub „równoważnej”, tj. umożliwiającej uwierzytelnienie obiektów i autoryzacje poprzez zasoby sieciowe i dyskowe. Delegacje uprawnień i atrybutów w ramach katalogów sieciowych i aplikacji w oparciu o zasadę izolacji uprawnień poprzez obiekty typu polisy uprawnień grupowych.</w:t>
            </w:r>
            <w:bookmarkStart w:id="7" w:name="_Hlk31197996"/>
            <w:bookmarkEnd w:id="7"/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bez dodatkowego oprogramowania emulującego działanie systemu programy: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PADS firmy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Mentor Graphics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Xpedition Enterprise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Inventor Professional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AutoCAD Mechanical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FreeCad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  <w:bookmarkStart w:id="8" w:name="_Hlk31197927"/>
            <w:bookmarkEnd w:id="8"/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- gwarancja typu „door to door”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- czas naprawy/wymiany gwarancyjnej: nie większy niż 7 dni roboczych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Kryterium punktowane 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wymagany przez Zamawiającego okres gwarancji minimum 24 miesiące – 0 punktów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wydłużenie okresu gwarancji do minimum 36 miesięcy – 9 punktów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Oferowania długość gwarancji:</w:t>
            </w:r>
          </w:p>
        </w:tc>
      </w:tr>
      <w:tr>
        <w:trPr/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mysz bezprzewodowa z interfejsem Bluetooth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 Bluetooth:</w:t>
            </w:r>
          </w:p>
        </w:tc>
      </w:tr>
    </w:tbl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</w:r>
      <w:bookmarkStart w:id="9" w:name="__DdeLink__236_2078150179"/>
      <w:bookmarkStart w:id="10" w:name="__DdeLink__236_2078150179"/>
      <w:bookmarkEnd w:id="10"/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2.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6"/>
        <w:gridCol w:w="6694"/>
        <w:gridCol w:w="1842"/>
      </w:tblGrid>
      <w:tr>
        <w:trPr/>
        <w:tc>
          <w:tcPr>
            <w:tcW w:w="53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9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94" w:type="dxa"/>
            <w:tcBorders/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35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8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od dnia podpisania umowy – 16 punktów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2</w:t>
      </w:r>
    </w:p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Cs/>
                <w:sz w:val="22"/>
                <w:szCs w:val="22"/>
              </w:rPr>
            </w:pPr>
            <w:bookmarkStart w:id="11" w:name="_Hlk25827742"/>
            <w:r>
              <w:rPr>
                <w:rFonts w:cs="Arial" w:ascii="Arial Narrow" w:hAnsi="Arial Narrow"/>
                <w:b/>
                <w:bCs/>
                <w:iCs/>
                <w:sz w:val="22"/>
                <w:szCs w:val="22"/>
              </w:rPr>
              <w:t>Laptop „naukowy” 13.3” typ A – 13 szt.</w:t>
            </w:r>
            <w:bookmarkEnd w:id="11"/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Procesor: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co najmniej 4 dwuwątkowe rdzenie obliczeniowe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taktowanie: min.  1.5GHz, z automatycznym przetaktowaniem do min. 3.5 GHz przy pracy jednordzeniowej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zintegrowany procesor graficzny, obsługujący standardy: OpenCL min. 2.1, DirectX 12 i Vulkan 1.1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zestawy instrukcji: wektorowe AVX 2.0, wirtualizacji VT-x/VT-d/EPT, wspomagania kryptografii AES,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sprzętowy generator liczb losowych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RAM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pojemność: min. 8 GB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 DDR4, min. 2400 GHz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możliwość rozbudowy do min. 16 GB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sz w:val="22"/>
                <w:szCs w:val="22"/>
              </w:rPr>
              <w:t>Kryterium punktowane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wymagana przez Zamawiającego pojemość pamięci RAM min. 8 GB – 0 punktów;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  <w:p>
            <w:pPr>
              <w:pStyle w:val="Normal"/>
              <w:tabs>
                <w:tab w:val="left" w:pos="420" w:leader="none"/>
              </w:tabs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- zwiększenie pamięci RAM do 16 GB – 10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pojemność: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Wyświetlacz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przekątna – 13.3±0.1”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bez obsługi dotykowej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matowy lub z powłoką antyrefleksyjną 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rozdzielczość nominalna: co najmniej 1920×1080pikseli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masowa: dysk SSD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interfejs M.2 PCIe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pojemność: min. 512GB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Producent: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 sieci przewodowej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 xml:space="preserve">Przynajmniej </w:t>
            </w:r>
            <w:r>
              <w:rPr>
                <w:rFonts w:eastAsia="" w:ascii="Arial Narrow" w:hAnsi="Arial Narrow" w:eastAsiaTheme="minorEastAsia"/>
                <w:sz w:val="22"/>
                <w:szCs w:val="22"/>
              </w:rPr>
              <w:t>1000 Mb/s (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Gigabit Ethernet), ze złączem RJ45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Przepustowość: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wbudowana bezprzewodowa karta sieciowa w standardzie min. 802.11 g/n/ac,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wbudowany interfejs Bluetooth w wersji min 4.2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monitora – co najmniej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HDMI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DisplayPort </w:t>
            </w: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(dopuszcza się gniazda w wersji mini oraz wyprowadzenie sygnału DisplayPort przez złącze USB typu C)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Złącza USB 3.1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co najmniej trzy, w tym co najmniej dwa z gniazdem typu A, i co najmniej jedno Gen2 (10Gbps) z gniazdem typu 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Urządzenia wejściowe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klawiatura: układ amerykański, podświetlana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 dotykowy z wydzielonymi przyciskami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Waga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1.25 kg (bez zasilacza, z baterią)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Zabezpieczenia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układ TPM 2.0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gniazdo linki zabezpieczającej Noble Wedge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czytnik SmartCard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zintegrowany czytnik linii papilarnych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w wersji 64 bitowej, 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wersji wielojęzycznej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>zawierający możliwość podłączenia do domeny Active Directory lub „równoważnej”, tj. umożliwiającej uwierzytelnienie obiektów i autoryzacje poprzez zasoby sieciowe i dyskowe. Delegacje uprawnień i atrybutów w ramach katalogów sieciowych i aplikacji w oparciu o zasadę izolacji uprawnień poprzez obiekty typu polisy uprawnień grupowych.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obsługujący bez dodatkowego oprogramowania emulującego działanie systemu programy: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PADS firmy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Mentor Graphics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Xpedition Enterprise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Inventor Professional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Autodesk AutoCAD Mechanical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en-US"/>
              </w:rPr>
              <w:t>FreeCad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gwarancja typu „door to door”,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czas naprawy/wymiany gwarancyjnej: nie większy niż 7 dni roboczych</w:t>
            </w:r>
          </w:p>
          <w:p>
            <w:pPr>
              <w:pStyle w:val="Normal"/>
              <w:tabs>
                <w:tab w:val="left" w:pos="420" w:leader="none"/>
              </w:tabs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"/>
              <w:tabs>
                <w:tab w:val="left" w:pos="420" w:leader="none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wymagany przez Zamawiającego okres gwarancji minimum 24 miesiące – 0 punktów,</w:t>
            </w:r>
          </w:p>
          <w:p>
            <w:pPr>
              <w:pStyle w:val="Normal"/>
              <w:tabs>
                <w:tab w:val="left" w:pos="420" w:leader="none"/>
              </w:tabs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wydłużenie okresu gwarancji do minimum 36 miesięcy – 10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Oferowana długość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mysz bezprzewodowa z interfejsem Bluetooth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bookmarkStart w:id="12" w:name="_Hlk25829160"/>
      <w:bookmarkEnd w:id="12"/>
      <w:r>
        <w:rPr>
          <w:rFonts w:eastAsia="Calibri" w:ascii="Arial Narrow" w:hAnsi="Arial Narrow"/>
          <w:b/>
          <w:sz w:val="22"/>
          <w:szCs w:val="22"/>
        </w:rPr>
        <w:t>Tabela 2.  Opis przedmiotu zamówienia (pozycja 2)</w:t>
      </w:r>
    </w:p>
    <w:tbl>
      <w:tblPr>
        <w:tblW w:w="9360" w:type="dxa"/>
        <w:jc w:val="lef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43"/>
        <w:gridCol w:w="2801"/>
        <w:gridCol w:w="3259"/>
        <w:gridCol w:w="1"/>
        <w:gridCol w:w="2555"/>
      </w:tblGrid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bookmarkStart w:id="13" w:name="_Hlk25829160"/>
            <w:bookmarkStart w:id="14" w:name="_Hlk25827335"/>
            <w:bookmarkEnd w:id="13"/>
            <w:bookmarkEnd w:id="14"/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Laptop „naukowy” 13.3” typ B – 1 szt.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>
          <w:trHeight w:val="498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architektura 64-bitowa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min. 4 dwuwątkowe rdzenie obliczeniowe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taktowanie min.  2.4GHz, z automatycznym przetaktowaniem do min. 4 GHz przy pracy jednordzeniowej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zintegrowany procesor grafiki obsługujący standardy: OpenCL min. 1.2, DirectX 12 i Vulkan 1.1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obsługiwane zestawy instrukcji: wektorowe AVX 2.0, wirtualizacji VT-x/VT-d/EPT, wspomagania kryptografii AES,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wyposażony w sprzętowy generator liczb losowych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RAM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minimum 16 GB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częstotliwość pracy: min. 2133MHz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Wyświetlacz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 – 13.3±0.2”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 nominalna: 2560×1600 pikseli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bez obsługi dotykowej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Pamięć masowa: dysk SSD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interfejs M.2 PCIe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16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 min. 1 TB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Interfejsy sieci bezprzewodowej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wbudowana bezprzewodowa karta sieciowa w standardzie min. 802.11 g/n/ac,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wbudowany interfejs Bluetooth 5.0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Porty Thunderbolt 3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cztery, z gniazdami USB typu C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złącz: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Urządzenia wejściowe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klawiatura (wersja amerykańska lub międzynarodowa, w układzie QWERTY),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podświetlana, wyposażona we własny programowalny wyświetlacz dotykowy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 dotykowy z wydzielonymi przyciskami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do 1.4 kg (bez zasilacza, z baterią)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64-bitowy spełniający następujące warunki:</w:t>
            </w:r>
          </w:p>
          <w:p>
            <w:pPr>
              <w:pStyle w:val="ListParagraph"/>
              <w:ind w:left="0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oprogramowanie w pełni kompatybilne z dokumentami utworzonymi programami Pages, Numbers oraz Keynote, umożliwiające tworzenie edycję i zapisywanie plików tego typu, także w sytuacji braku dostępu do Internetu lub umożliwiający zainstalowanie takiego oprogramowania w wersji dedykowanej na oferowany system operacyjny.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oprogramowanie umożliwiające wymianę plików z innymi urządzeniami wyposażonymi w oprogramowanie, które do tego celu używa protokołu AirDrop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Warunki gwarancji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gwarancja typu „door to door”, </w:t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minimalny okres gwarancji: 12 miesięcy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Pakiet programów do obsługi biura: edytor tekstu, arkusze kalkulacyjne, program do tworzenia prezentacji. Umożliwiające pracę off-line oraz on-line w chmurze, współużytkowanie dokumentów sieci (w tym tworzenie i wspólna edycja i modyfikacja).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kompatybilność pełna z pakietem Microsoft Office i plikami typu docx, xlsx, pptx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okres licencji – minimum dwa lata</w:t>
            </w:r>
          </w:p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wymagane aplikacje: co najmniej edytor dokumentów, arkusz kalkulacyjny, program do tworzenia prezentacji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udostępniający możliwości pracy grupowej, w szczególności komunikację w grupie roboczej, tworzenie oraz wspólną edycję i modyfikację dokumentów</w:t>
            </w:r>
          </w:p>
          <w:p>
            <w:pPr>
              <w:pStyle w:val="ListParagraph"/>
              <w:spacing w:before="0" w:after="160"/>
              <w:ind w:left="-120" w:hanging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- pozwalający zarówno na pracę lokalną jak i w sieci internet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Producent: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Wyposażenie dodatkowe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ListParagraph"/>
              <w:ind w:lef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mysz bezprzewodowa z interfejsem Bluetooth</w:t>
            </w:r>
          </w:p>
          <w:p>
            <w:pPr>
              <w:pStyle w:val="Standard"/>
              <w:ind w:right="-23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wersja: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  <w:bookmarkStart w:id="15" w:name="_Hlk25827335"/>
      <w:bookmarkStart w:id="16" w:name="_Hlk25830716"/>
      <w:bookmarkStart w:id="17" w:name="_Hlk25827335"/>
      <w:bookmarkStart w:id="18" w:name="_Hlk25830716"/>
      <w:bookmarkEnd w:id="17"/>
      <w:bookmarkEnd w:id="18"/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3.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6"/>
        <w:gridCol w:w="6694"/>
        <w:gridCol w:w="1842"/>
      </w:tblGrid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3</w:t>
      </w:r>
    </w:p>
    <w:p>
      <w:pPr>
        <w:pStyle w:val="Normal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ind w:firstLine="709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bookmarkStart w:id="19" w:name="_Hlk25854450"/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Podwójny monitor – 2 szt.</w:t>
            </w:r>
            <w:bookmarkEnd w:id="19"/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Dwa monitory na wspólnym stojaku, każdy z monitorów o następujących parametrach: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Przekątna ekranu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24'' ± 0.3”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1920×1080 (przy odświeżaniu 60 Hz)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odświetlenie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Typ: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DisplayPort, VGA (D-Sub) (dopuszcza się porty w wersji mini pod warunkiem dołączenia odpowiedniego kabla ze standardowym wtykiem)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złącz: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obrotu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 90° (pivot), regulacji pochylenia i wysokości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wbudowany hub USB 3.0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 porty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zasilacz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wbudowany 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przystosowanie do pracy wielomonitorowej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cienka ramka – poniżej 6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mm (nie dotyczy dolnej części)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Grubość ramki: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>, D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isplayPort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 (do podłączenia monitora do komputera)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Western"/>
              <w:spacing w:lineRule="auto" w:line="276"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lang w:val="pl"/>
              </w:rPr>
              <w:t>Wymagania dotyczące stojaka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montaż poziomy dwóch monitorów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montaż poprzez uchwyty montażowe VESA 100mm×100mm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niezależną regulację wzajemnego położenia (odległość, wysokości i obrót o 90°) monitorów podczas montażu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pozwalający na jednoczesną zmianę pochylenia i wysokości zamontowanych monitorów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wyposażony w organizer kabli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minimum 24 miesiące - 0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przedłużenie okresu gwarancji do minimum 36 miesięcy - 4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punkty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  <w:lang w:val="pl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gwarancja całkowitego braku złych (jasnych) pikseli w monitorach (w deklarowanym okresie gwarancji) - </w:t>
            </w:r>
            <w:r>
              <w:rPr>
                <w:rFonts w:cs="Arial" w:ascii="Arial Narrow" w:hAnsi="Arial Narrow"/>
                <w:sz w:val="22"/>
                <w:szCs w:val="22"/>
              </w:rPr>
              <w:t>4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punkty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Wymagana 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2.  Opis przedmiotu zamówienia (pozycja 2)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Monitor 31.5” – 1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 ekranu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32'' ± 0.5”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2560×1440 (przy odświeżaniu 60 Hz)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podświetlenie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podświetlenia: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 panelu: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DisplayPort, DVI (dopuszcza się porty w wersji mini pod warunkiem dołączenia odpowiedniego kabla ze standardowym wtykiem)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wejść: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regulacji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pochylenia i wysokości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wbudowane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głośniki stereofoniczne, wyjście słuchawkowe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zasilacz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wbudowany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DisplayPort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3.  Opis przedmiotu zamówienia (pozycja 3)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b/>
                <w:bCs/>
                <w:sz w:val="22"/>
                <w:szCs w:val="22"/>
              </w:rPr>
              <w:t>Monitor 27” – 14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płaski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przekątna ekranu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27'' ± 0.2”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Przekątna: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rozdzielczość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2560×1440 (przy odświeżaniu 60 Hz)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Rozdzielczość: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podświetlenie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Cs/>
                <w:sz w:val="22"/>
                <w:szCs w:val="22"/>
              </w:rPr>
              <w:t>LED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podświetlenia: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matowy lub z powłoką przeciwodblaskową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Panel: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250 cd/m2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Jasność: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wejścia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HDMI, 2×DisplayPort (dopuszcza się porty w wersji mini)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wejść: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wyjścia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DisplayPort (do podłączenia innego monitora zgodnie ze standardem MST)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wyjść: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możliwość obrotu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 90° (pivot), regulacji pochylenia i wysokości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budowany hub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3.0 (min. 4 porty)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zasilacz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wbudowany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przystosowanie do pracy wielomonitorowej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cienka ramka – poniżej 8mm (nie dotyczy dolnej części)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Grubość ramki: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dołączone przewody sygnałowe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HDMI</w:t>
            </w:r>
            <w:r>
              <w:rPr>
                <w:rFonts w:cs="Arial" w:ascii="Arial Narrow" w:hAnsi="Arial Narrow"/>
                <w:sz w:val="22"/>
                <w:szCs w:val="22"/>
              </w:rPr>
              <w:t>, D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isplayPort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USB 3 (do podłączenia monitora do komputera)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Wykaz przewodów: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otwory montażowe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 standardzie VESA 100mm×100mm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minimum 24 miesiące –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przedłużenie okresu gwarancji na zestaw do minimum 36 miesięcy - 6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eastAsia="" w:cs="Arial" w:eastAsiaTheme="minorEastAsia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  <w:lang w:val="pl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gwarancja całkowitego braku złych (jasnych) pikseli w monitorach (w deklarowanym okresie gwarancji) - </w:t>
            </w:r>
            <w:r>
              <w:rPr>
                <w:rFonts w:cs="Arial" w:ascii="Arial Narrow" w:hAnsi="Arial Narrow"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" w:cs="Arial" w:eastAsiaTheme="minorEastAsia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eastAsiaTheme="minorEastAsia"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4.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"/>
        <w:gridCol w:w="6642"/>
        <w:gridCol w:w="1857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1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2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3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4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</w:rPr>
              <w:t>5</w:t>
            </w: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sz w:val="22"/>
                <w:szCs w:val="22"/>
              </w:rPr>
              <w:t>Rektorska 4, 00-614 Warszawa, pokój 5.06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ind w:right="-23" w:hanging="0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" w:cstheme="minorBidi" w:eastAsiaTheme="minorEastAsia" w:ascii="Calibri" w:hAnsi="Calibri"/>
        </w:rPr>
      </w:r>
    </w:p>
    <w:p>
      <w:pPr>
        <w:pStyle w:val="Normal"/>
        <w:rPr>
          <w:rFonts w:ascii="Arial Narrow" w:hAnsi="Arial Narrow" w:eastAsia="" w:cs="Arial" w:eastAsiaTheme="minorEastAsia"/>
          <w:b/>
          <w:b/>
          <w:bCs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CZĘŚĆ 4</w:t>
      </w:r>
    </w:p>
    <w:p>
      <w:pPr>
        <w:pStyle w:val="Normal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1.  Opis przedmiotu zamówienia (pozycja 1)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" w:cs="Arial" w:ascii="Arial Narrow" w:hAnsi="Arial Narrow" w:eastAsiaTheme="minorEastAsia"/>
                <w:sz w:val="22"/>
                <w:szCs w:val="22"/>
              </w:rPr>
              <w:t>Dysk SSD NVME – 15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Interfejs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M.2 2280 PCIe x4, NVMe 1.3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pojemność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min. 1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TB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  <w:lang w:val="en-US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cs="Arial" w:ascii="Arial Narrow" w:hAnsi="Arial Narrow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osiągalne prędkości odczytu/zapisu przy dostępie sekwencyjnym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odpowiednio 3500/3000 MB/s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Prędkości zapisu/odczytu: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osiągalne prędkości odczytu/zapisu przy dostępie losowym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350 tys. operacji we/wy na sekundę (4kB, QD32)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Prędkości zapisu/odczytu: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parametry niezawodnościowe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MTBF min. 2 mln godz. (lub równoważny współczynnik AFR nie większy niż 0.44%), trwałość min. 600TBW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 (1)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wymagany przez Zamawiającego okres gwarancji minimum </w:t>
            </w:r>
            <w:r>
              <w:rPr>
                <w:rFonts w:cs="Arial" w:ascii="Arial Narrow" w:hAnsi="Arial Narrow"/>
                <w:sz w:val="22"/>
                <w:szCs w:val="22"/>
              </w:rPr>
              <w:t>24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</w:t>
            </w:r>
            <w:r>
              <w:rPr>
                <w:rFonts w:cs="Arial" w:ascii="Arial Narrow" w:hAnsi="Arial Narrow"/>
                <w:sz w:val="22"/>
                <w:szCs w:val="22"/>
              </w:rPr>
              <w:t>miesiące - 0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36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;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- 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48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10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</w:tbl>
    <w:p>
      <w:pPr>
        <w:pStyle w:val="Standard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Standard"/>
        <w:ind w:right="-23" w:hanging="0"/>
        <w:rPr>
          <w:rFonts w:ascii="Arial Narrow" w:hAnsi="Arial Narrow" w:eastAsia="" w:cs="" w:cstheme="minorBidi" w:eastAsiaTheme="minorEastAsia"/>
          <w:sz w:val="22"/>
          <w:szCs w:val="22"/>
        </w:rPr>
      </w:pPr>
      <w:r>
        <w:rPr>
          <w:rFonts w:eastAsia="" w:cs="" w:cstheme="minorBidi" w:eastAsiaTheme="minorEastAsia" w:ascii="Arial Narrow" w:hAnsi="Arial Narrow"/>
          <w:sz w:val="22"/>
          <w:szCs w:val="22"/>
        </w:rPr>
      </w:r>
    </w:p>
    <w:p>
      <w:pPr>
        <w:pStyle w:val="Standard"/>
        <w:ind w:right="-23" w:hanging="0"/>
        <w:rPr>
          <w:rFonts w:ascii="Arial Narrow" w:hAnsi="Arial Narrow" w:eastAsia="" w:cs="Arial" w:eastAsiaTheme="minorEastAsia"/>
          <w:sz w:val="22"/>
          <w:szCs w:val="22"/>
        </w:rPr>
      </w:pPr>
      <w:r>
        <w:rPr>
          <w:rFonts w:eastAsia="" w:cs="Arial" w:ascii="Arial Narrow" w:hAnsi="Arial Narrow" w:eastAsiaTheme="minorEastAsia"/>
          <w:b/>
          <w:bCs/>
          <w:sz w:val="22"/>
          <w:szCs w:val="22"/>
        </w:rPr>
        <w:t>Tabela 2.  Opis przedmiotu zamówienia (pozycja 2)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Switch gigabit z zasilaniem PoE - 10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 komunikacyjnych min. 8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portów: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rodzaj portów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Gigabit Ethernet, z gniazdem RJ-45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 portu: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obsługa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PoE (802.3af) na co najmniej połowie portów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obsługa sieci wirtualnych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802.1Q (co najmniej 30 VLAN ID)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zarządzanie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co najmniej przez przeglądarkę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zasilanie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Min. Poprzez PoE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wymagany okres gwarancji: co najmniej </w:t>
            </w:r>
            <w:r>
              <w:rPr>
                <w:rFonts w:cs="Arial" w:ascii="Arial Narrow" w:hAnsi="Arial Narrow"/>
                <w:sz w:val="22"/>
                <w:szCs w:val="22"/>
              </w:rPr>
              <w:t>2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lat</w:t>
            </w:r>
            <w:r>
              <w:rPr>
                <w:rFonts w:cs="Arial"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3.  Opis przedmiotu zamówienia (pozycja 3)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Kabel HDMI – 20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en-US" w:eastAsia="zh-CN" w:bidi="ar"/>
              </w:rPr>
              <w:t>rodzaj kabla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en-US" w:eastAsia="zh-CN" w:bidi="ar"/>
              </w:rPr>
              <w:t>High Speed HDMI Cable (HDMI v. 1.4) with Ethernet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 kabla: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ekranowanie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długość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Z zakresu od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1.5 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do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2.0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Długość: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Zakończenia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obustronnie wtyk (M)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bookmarkStart w:id="20" w:name="_Hlk25857980"/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4.  Opis przedmiotu zamówienia (pozycja 4)</w:t>
      </w:r>
      <w:bookmarkEnd w:id="20"/>
    </w:p>
    <w:tbl>
      <w:tblPr>
        <w:tblW w:w="9360" w:type="dxa"/>
        <w:jc w:val="lef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43"/>
        <w:gridCol w:w="2801"/>
        <w:gridCol w:w="3259"/>
        <w:gridCol w:w="1"/>
        <w:gridCol w:w="2555"/>
      </w:tblGrid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HUB USB – 14 szt.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podłączenie do komputera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zintegrowany przewód z wtykiem USB 3.1 typu C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gniazda USB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3.1 typu A: co najmniej dwa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gniazd: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8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typu C: co najmniej jedno, zapewniające zasilanie podłączonych urządzeń zgodnie ze standardem USB Power Delivery Profile 4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Liczba gniazd:</w:t>
            </w:r>
          </w:p>
        </w:tc>
      </w:tr>
      <w:tr>
        <w:trPr/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gniazdo Gigabit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Ethernet RJ-45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Min. 1x sztuka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Tak/Nie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  <w:tr>
        <w:trPr>
          <w:trHeight w:val="924" w:hRule="atLeas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okres gwarancji: co najmniej 2 lata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eastAsia="zh-CN"/>
              </w:rPr>
            </w:pPr>
            <w:r>
              <w:rPr>
                <w:rFonts w:cs="Arial" w:ascii="Arial Narrow" w:hAnsi="Arial Narrow"/>
                <w:sz w:val="22"/>
                <w:szCs w:val="22"/>
                <w:lang w:eastAsia="zh-CN"/>
              </w:rPr>
              <w:t xml:space="preserve">- 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gwarancja typu „door to door”, czas naprawy/wymiany gwarancyjnej nie większy niż 7 dni roboczych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Okres gwarancji: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5.  Opis przedmiotu zamówienia (pozycja 5)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Czytnik płyt CD i DVD – 2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zewnętrzny, z interfejsem USB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Typ: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nagrywarka/czytnik płyt DVD i CD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Odczyt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CD-ROM, DVD-ROM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Odczyt: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odczyt i zapis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CD-R/RW, DVD±R DL, DVD±RW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Odczyt/zapis: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minimalne prędkości odczytu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×8 dla dwuwarstwowych płyt DVD, ×24 dla płyt CD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Prędkość odczytu:</w:t>
            </w:r>
          </w:p>
          <w:p>
            <w:pPr>
              <w:pStyle w:val="Normal"/>
              <w:spacing w:before="0" w:after="1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bookmarkStart w:id="21" w:name="_Hlk25854902"/>
      <w:bookmarkStart w:id="22" w:name="_Hlk25854902"/>
      <w:bookmarkEnd w:id="22"/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6.  Opis przedmiotu zamówienia (pozycja 6)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Karty SD o pojemności 32 GB – 30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mikroSD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Rodzaj: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 32 GB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Pojemność: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klasa prędkości zapisu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Min. 10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osiągalna prędkość odczytu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 xml:space="preserve">- 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min. 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50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 xml:space="preserve"> MB/s</w:t>
            </w:r>
          </w:p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Prędkość odczytu:</w:t>
            </w:r>
          </w:p>
        </w:tc>
      </w:tr>
      <w:tr>
        <w:trPr>
          <w:trHeight w:val="832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s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tandard prędkości szyny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UHS-I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s</w:t>
            </w: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tandard prędkości szyny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Warunki gwarancji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/>
                <w:sz w:val="22"/>
                <w:szCs w:val="22"/>
                <w:lang w:eastAsia="zh-CN"/>
              </w:rPr>
            </w:pP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 xml:space="preserve">- </w:t>
            </w:r>
            <w:r>
              <w:rPr>
                <w:rFonts w:eastAsia="Cambria" w:ascii="Arial Narrow" w:hAnsi="Arial Narrow"/>
                <w:sz w:val="22"/>
                <w:szCs w:val="22"/>
                <w:lang w:val="pl" w:eastAsia="zh-CN"/>
              </w:rPr>
              <w:t xml:space="preserve">wymagany okres gwarancji: co najmniej 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2</w:t>
            </w:r>
            <w:r>
              <w:rPr>
                <w:rFonts w:eastAsia="Cambria" w:ascii="Arial Narrow" w:hAnsi="Arial Narrow"/>
                <w:sz w:val="22"/>
                <w:szCs w:val="22"/>
                <w:lang w:val="pl" w:eastAsia="zh-CN"/>
              </w:rPr>
              <w:t xml:space="preserve"> lat</w:t>
            </w: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a</w:t>
            </w:r>
          </w:p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eastAsia="Cambria"/>
                <w:sz w:val="22"/>
                <w:szCs w:val="22"/>
                <w:lang w:eastAsia="zh-CN"/>
              </w:rPr>
            </w:pPr>
            <w:r>
              <w:rPr>
                <w:rFonts w:eastAsia="Cambria" w:ascii="Arial Narrow" w:hAnsi="Arial Narrow"/>
                <w:sz w:val="22"/>
                <w:szCs w:val="22"/>
                <w:lang w:eastAsia="zh-CN"/>
              </w:rPr>
              <w:t>- gwarancja typu „door to door”, czas naprawy/wymiany gwarancyjnej nie większy niż 7 dni roboczych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Okres gwarancji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eastAsia="" w:cs="" w:ascii="Arial Narrow" w:hAnsi="Arial Narrow" w:cstheme="minorBidi" w:eastAsiaTheme="minorEastAsia"/>
          <w:b/>
          <w:bCs/>
          <w:sz w:val="22"/>
          <w:szCs w:val="22"/>
        </w:rPr>
        <w:t>Tabela 7.  Opis przedmiotu zamówienia (pozycja 7)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97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719"/>
        <w:gridCol w:w="2714"/>
        <w:gridCol w:w="3161"/>
        <w:gridCol w:w="1"/>
        <w:gridCol w:w="247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Parametr techniczny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Wymagany przez Zamawiającego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rFonts w:cs="Arial" w:ascii="Arial Narrow" w:hAnsi="Arial Narrow"/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Web"/>
              <w:spacing w:before="0" w:afterAutospacing="0" w:after="0"/>
              <w:jc w:val="left"/>
              <w:rPr>
                <w:rFonts w:ascii="Arial Narrow" w:hAnsi="Arial Narrow" w:cs="Arial"/>
                <w:bCs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bCs/>
                <w:sz w:val="22"/>
                <w:szCs w:val="22"/>
                <w:lang w:val="pl" w:eastAsia="zh-CN" w:bidi="ar"/>
              </w:rPr>
              <w:t>Obudowa dysk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eastAsia="zh-CN" w:bidi="ar"/>
              </w:rPr>
              <w:t>u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val="pl" w:eastAsia="zh-CN" w:bidi="ar"/>
              </w:rPr>
              <w:t xml:space="preserve"> SSD M.2</w:t>
            </w:r>
            <w:r>
              <w:rPr>
                <w:rFonts w:eastAsia="Cambria" w:cs="Arial" w:ascii="Arial Narrow" w:hAnsi="Arial Narrow"/>
                <w:bCs/>
                <w:sz w:val="22"/>
                <w:szCs w:val="22"/>
                <w:lang w:eastAsia="zh-CN" w:bidi="ar"/>
              </w:rPr>
              <w:t xml:space="preserve"> - 15 szt.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Podać nazwę producenta: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model: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interfejs obudowy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USB 3.1 Gen2 (10Gbps), z gniazdem typu 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Interfejs obudowy: 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interfejs dysku SSD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M.2 NVMe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Interfejs dysku: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długości montowanych napędów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42, 60 i 80mm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długości montowanych napędów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</w:tc>
      </w:tr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dołączone przewody sygnałowe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jc w:val="left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co najmniej USB-C do USB-C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Potwierdzenie:</w:t>
            </w:r>
          </w:p>
          <w:p>
            <w:pPr>
              <w:pStyle w:val="Normal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</w:r>
          </w:p>
          <w:p>
            <w:pPr>
              <w:pStyle w:val="Normal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przewody sygnałowe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: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mbria" w:cs="Arial"/>
                <w:sz w:val="22"/>
                <w:szCs w:val="22"/>
                <w:lang w:eastAsia="zh-CN" w:bidi="ar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</w:r>
          </w:p>
        </w:tc>
      </w:tr>
      <w:tr>
        <w:trPr>
          <w:trHeight w:val="1996" w:hRule="atLeast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76" w:beforeAutospacing="0" w:before="0" w:afterAutospacing="0" w:after="0"/>
              <w:jc w:val="left"/>
              <w:rPr>
                <w:rFonts w:ascii="Arial Narrow" w:hAnsi="Arial Narrow" w:cs="Arial"/>
                <w:sz w:val="22"/>
                <w:szCs w:val="22"/>
                <w:lang w:val="pl" w:eastAsia="zh-CN"/>
              </w:rPr>
            </w:pPr>
            <w:r>
              <w:rPr>
                <w:rFonts w:eastAsia="Cambria" w:cs="Arial" w:ascii="Arial Narrow" w:hAnsi="Arial Narrow"/>
                <w:sz w:val="22"/>
                <w:szCs w:val="22"/>
                <w:lang w:val="pl" w:eastAsia="zh-CN" w:bidi="ar"/>
              </w:rPr>
              <w:t>Warunki gwarancj</w:t>
            </w:r>
            <w:r>
              <w:rPr>
                <w:rFonts w:eastAsia="Cambria" w:cs="Arial" w:ascii="Arial Narrow" w:hAnsi="Arial Narrow"/>
                <w:sz w:val="22"/>
                <w:szCs w:val="22"/>
                <w:lang w:eastAsia="zh-CN" w:bidi="ar"/>
              </w:rPr>
              <w:t>i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gwarancja typu „door to door”, czas naprawy/wymiany gwarancyjnej nie większy niż 7 dni roboczych</w:t>
            </w: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>Kryterium punktowane: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b/>
                <w:b/>
                <w:bCs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wymagany przez Zamawiającego okres gwarancji co najmniej 24 miesiące – 0 punktów,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cs="Arial"/>
                <w:sz w:val="22"/>
                <w:szCs w:val="22"/>
                <w:lang w:val="pl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36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, </w:t>
            </w:r>
          </w:p>
          <w:p>
            <w:pPr>
              <w:pStyle w:val="NormalWeb"/>
              <w:spacing w:lineRule="auto" w:line="240" w:before="0" w:afterAutospacing="0" w:after="0"/>
              <w:rPr>
                <w:rFonts w:ascii="Arial Narrow" w:hAnsi="Arial Narrow" w:eastAsia="Cambria" w:cs="Arial"/>
                <w:sz w:val="22"/>
                <w:szCs w:val="22"/>
                <w:lang w:val="pl" w:eastAsia="zh-CN" w:bidi="ar"/>
              </w:rPr>
            </w:pP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przedłużenie okresu gwarancji do minimum </w:t>
            </w:r>
            <w:r>
              <w:rPr>
                <w:rFonts w:cs="Arial" w:ascii="Arial Narrow" w:hAnsi="Arial Narrow"/>
                <w:sz w:val="22"/>
                <w:szCs w:val="22"/>
              </w:rPr>
              <w:t>48 miesięcy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 xml:space="preserve"> - </w:t>
            </w:r>
            <w:r>
              <w:rPr>
                <w:rFonts w:cs="Arial" w:ascii="Arial Narrow" w:hAnsi="Arial Narrow"/>
                <w:sz w:val="22"/>
                <w:szCs w:val="22"/>
              </w:rPr>
              <w:t xml:space="preserve">10 </w:t>
            </w:r>
            <w:r>
              <w:rPr>
                <w:rFonts w:cs="Arial" w:ascii="Arial Narrow" w:hAnsi="Arial Narrow"/>
                <w:sz w:val="22"/>
                <w:szCs w:val="22"/>
                <w:lang w:val="pl"/>
              </w:rPr>
              <w:t>punktów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Potwierdzenie</w:t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Narrow" w:hAnsi="Arial Narrow" w:cs="Arial"/>
                <w:sz w:val="22"/>
                <w:szCs w:val="22"/>
                <w:lang w:eastAsia="zh-CN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Oferowany okres gwarancji: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360"/>
        <w:ind w:left="-284" w:firstLine="284"/>
        <w:jc w:val="both"/>
        <w:rPr>
          <w:rFonts w:ascii="Arial Narrow" w:hAnsi="Arial Narrow" w:eastAsia="Calibri"/>
          <w:b/>
          <w:b/>
          <w:sz w:val="22"/>
          <w:szCs w:val="22"/>
        </w:rPr>
      </w:pPr>
      <w:r>
        <w:rPr>
          <w:rFonts w:eastAsia="Calibri" w:ascii="Arial Narrow" w:hAnsi="Arial Narrow"/>
          <w:b/>
          <w:sz w:val="22"/>
          <w:szCs w:val="22"/>
        </w:rPr>
        <w:t>Tabela 8.  Pozostałe wymagania</w:t>
      </w:r>
    </w:p>
    <w:tbl>
      <w:tblPr>
        <w:tblStyle w:val="Tabela-Siatka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"/>
        <w:gridCol w:w="6827"/>
        <w:gridCol w:w="1672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 Narrow" w:hAnsi="Arial Narrow" w:eastAsia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i/>
                <w:sz w:val="22"/>
                <w:szCs w:val="22"/>
                <w:lang w:eastAsia="en-US"/>
              </w:rPr>
              <w:t>Oferowane przez wykonawcę**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color w:val="000000" w:themeColor="text1"/>
                <w:sz w:val="22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eastAsia="Calibri" w:cs="Times New Roman" w:ascii="Arial Narrow" w:hAnsi="Arial Narrow"/>
                <w:bCs/>
                <w:iCs/>
                <w:sz w:val="22"/>
                <w:szCs w:val="22"/>
              </w:rPr>
              <w:t>Rektorska 4, 00-614 Warszawa, pokój 5.06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TAK / NIE***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Oferujemy realizację dostawy w terminie (kryterium dodatkowe, punktowane)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28 dni od dnia podpisania umowy – 0 punktów (wymagane przez Zamawiającego)</w:t>
            </w:r>
          </w:p>
          <w:p>
            <w:pPr>
              <w:pStyle w:val="Normal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21 dni od dnia podpisania umowy – 10 punktów</w:t>
            </w:r>
          </w:p>
          <w:p>
            <w:pPr>
              <w:pStyle w:val="Normal"/>
              <w:spacing w:before="0" w:after="160"/>
              <w:rPr>
                <w:rFonts w:ascii="Arial Narrow" w:hAnsi="Arial Narrow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sz w:val="22"/>
                <w:szCs w:val="22"/>
                <w:lang w:eastAsia="en-US"/>
              </w:rPr>
              <w:t>14 dni od dnia podpisania umowy – 20 punktów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 Narrow" w:hAnsi="Arial Narrow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Arial Narrow" w:hAnsi="Arial Narrow"/>
                <w:b/>
                <w:sz w:val="22"/>
                <w:szCs w:val="22"/>
                <w:lang w:eastAsia="en-US"/>
              </w:rPr>
              <w:t>Podać oferowany termin dostawy:</w:t>
            </w:r>
          </w:p>
        </w:tc>
      </w:tr>
    </w:tbl>
    <w:p>
      <w:pPr>
        <w:pStyle w:val="Normal"/>
        <w:rPr>
          <w:rFonts w:ascii="Arial Narrow" w:hAnsi="Arial Narrow" w:eastAsia="Calibri"/>
          <w:b/>
          <w:b/>
          <w:sz w:val="22"/>
          <w:szCs w:val="22"/>
          <w:lang w:eastAsia="en-US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 xml:space="preserve">* Niespełnienie któregokolwiek z wymaganych przez Zamawiającego elementów zamówienia będzie skutkowało odrzuceniem oferty na podstawie art. 89 ust.1 pkt. 2 ustawy Pzp.    </w:t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** Zaznaczyć właściwą opcję lub podać oferowany zakres – niezaznaczenie którejkolwiek pozycji będzie skutkowało odrzuceniem oferty na podstawie art. 89 ust.1 pkt. 2 ustawy Pzp.</w:t>
      </w:r>
    </w:p>
    <w:p>
      <w:pPr>
        <w:pStyle w:val="Normal"/>
        <w:tabs>
          <w:tab w:val="left" w:pos="426" w:leader="none"/>
        </w:tabs>
        <w:spacing w:lineRule="auto" w:line="276" w:before="60" w:after="60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*** Niewłaściwe skreślić.</w:t>
      </w:r>
    </w:p>
    <w:p>
      <w:pPr>
        <w:pStyle w:val="Normal"/>
        <w:tabs>
          <w:tab w:val="left" w:pos="426" w:leader="none"/>
        </w:tabs>
        <w:spacing w:lineRule="auto" w:line="276" w:before="60" w:after="60"/>
        <w:rPr>
          <w:rFonts w:ascii="Arial Narrow" w:hAnsi="Arial Narrow" w:eastAsia="Calibri"/>
          <w:sz w:val="22"/>
          <w:szCs w:val="22"/>
          <w:lang w:eastAsia="en-US"/>
        </w:rPr>
      </w:pPr>
      <w:r>
        <w:rPr>
          <w:rFonts w:cs="Arial" w:ascii="Arial Narrow" w:hAnsi="Arial Narrow"/>
          <w:sz w:val="22"/>
          <w:szCs w:val="22"/>
        </w:rPr>
        <w:t>****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Ilekroć w niniejszej specyfikacji przedmiot zamówienia jest opisany ze wskazaniem znaków towarowych, patentów lub pochodzenia, to przyjmuje się, że wskazaniom takim towarzyszą wyrazy „lub równoważne”.</w:t>
      </w:r>
    </w:p>
    <w:p>
      <w:pPr>
        <w:pStyle w:val="Normal"/>
        <w:tabs>
          <w:tab w:val="left" w:pos="426" w:leader="none"/>
        </w:tabs>
        <w:spacing w:lineRule="auto" w:line="276" w:before="60" w:after="60"/>
        <w:jc w:val="both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709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 Pzp, Zamawiający dopuszcza zastosowanie rozwiązań równoważnych opisywanym, gwarantujących osiągnięcie parametrów nie gorszych niż opisane w dokumentacji.</w:t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709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>
      <w:pPr>
        <w:pStyle w:val="Normal"/>
        <w:tabs>
          <w:tab w:val="left" w:pos="426" w:leader="none"/>
        </w:tabs>
        <w:spacing w:lineRule="auto" w:line="276" w:before="60" w:after="60"/>
        <w:ind w:firstLine="567"/>
        <w:jc w:val="both"/>
        <w:rPr>
          <w:rFonts w:ascii="Arial Narrow" w:hAnsi="Arial Narrow" w:eastAsia="Calibri"/>
          <w:i/>
          <w:i/>
          <w:sz w:val="22"/>
          <w:szCs w:val="22"/>
          <w:lang w:eastAsia="en-US"/>
        </w:rPr>
      </w:pPr>
      <w:r>
        <w:rPr>
          <w:rFonts w:eastAsia="Calibri" w:ascii="Arial Narrow" w:hAnsi="Arial Narrow"/>
          <w:i/>
          <w:sz w:val="22"/>
          <w:szCs w:val="22"/>
          <w:lang w:eastAsia="en-US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zujemy si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, w wypadku wybrania przez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cego naszej oferty: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zawrze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umow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na realizacj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przedmiotu zamówienia, na warunkach okre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lonych w SIWZ, w terminie i miejscu wskazanym przez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cego,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przedmiot zamówienia zgodnie z postanowieniami SIWZ.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Przedkładaj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 Zamawiaj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cemu nasz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ofert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zapoznaliśmy się z treścią SIWZ oraz wzorem umowy i akceptujemy je bez zastrzeżeń.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wypadku wspólnego ubiegania si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o udzielenie zamówienia ponosimy solidarn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odpowiedzialno</w:t>
      </w:r>
      <w:r>
        <w:rPr>
          <w:rFonts w:eastAsia="TimesNewRoman" w:ascii="Arial Narrow" w:hAnsi="Arial Narrow"/>
          <w:sz w:val="22"/>
          <w:szCs w:val="22"/>
        </w:rPr>
        <w:t xml:space="preserve">ść </w:t>
      </w:r>
      <w:r>
        <w:rPr>
          <w:rFonts w:ascii="Arial Narrow" w:hAnsi="Arial Narrow"/>
          <w:sz w:val="22"/>
          <w:szCs w:val="22"/>
        </w:rPr>
        <w:t>za wykonanie przedmiotu umowy.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wykonanie następujących części zamówienia zamierzamy powierzyć podwykonawcom /należy podać firmy podwykonawców/:</w:t>
      </w:r>
    </w:p>
    <w:p>
      <w:pPr>
        <w:pStyle w:val="Normal"/>
        <w:tabs>
          <w:tab w:val="left" w:pos="426" w:leader="none"/>
        </w:tabs>
        <w:spacing w:before="120" w:after="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before="120" w:after="160"/>
        <w:ind w:left="0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>
        <w:rPr>
          <w:rFonts w:eastAsia="TimesNewRoman"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eastAsia="TimesNewRoman"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nast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puj</w:t>
      </w:r>
      <w:r>
        <w:rPr>
          <w:rFonts w:eastAsia="TimesNewRoman"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 dokumenty stanowi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tajemnic</w:t>
      </w:r>
      <w:r>
        <w:rPr>
          <w:rFonts w:eastAsia="TimesNewRoman" w:ascii="Arial Narrow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przedsi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biorstwa w rozumieniu ustawy o zwalczaniu nieuczciwej konkurencji i nie mog</w:t>
      </w:r>
      <w:r>
        <w:rPr>
          <w:rFonts w:eastAsia="TimesNewRoman" w:ascii="Arial Narrow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by</w:t>
      </w:r>
      <w:r>
        <w:rPr>
          <w:rFonts w:eastAsia="TimesNewRoman" w:ascii="Arial Narrow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udost</w:t>
      </w:r>
      <w:r>
        <w:rPr>
          <w:rFonts w:eastAsia="TimesNewRoman"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312" w:before="120" w:after="160"/>
        <w:ind w:left="0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treści, wykonawca nie składa oświadczenia (usunięcie treści oświadczenia np. przez jego wykreślenie).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Załącznikami do naszej oferty są: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1.</w:t>
        <w:tab/>
        <w:t>………………………………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2.</w:t>
        <w:tab/>
        <w:t>………………………………</w:t>
      </w:r>
    </w:p>
    <w:p>
      <w:pPr>
        <w:pStyle w:val="Normal"/>
        <w:tabs>
          <w:tab w:val="left" w:pos="426" w:leader="none"/>
        </w:tabs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3.</w:t>
        <w:tab/>
        <w:t>………………………………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312" w:before="120" w:after="1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....................., dn. ……......................</w:t>
      </w:r>
      <w:r>
        <w:rPr>
          <w:rFonts w:ascii="Arial Narrow" w:hAnsi="Arial Narrow"/>
          <w:sz w:val="22"/>
          <w:szCs w:val="22"/>
        </w:rPr>
        <w:t xml:space="preserve">                                              ....................................................</w:t>
      </w:r>
    </w:p>
    <w:p>
      <w:pPr>
        <w:pStyle w:val="Normal"/>
        <w:spacing w:lineRule="auto" w:line="312" w:before="120" w:after="16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i/>
          <w:iCs/>
          <w:sz w:val="22"/>
          <w:szCs w:val="22"/>
        </w:rPr>
        <w:t>podpis osoby uprawnionej do reprezentacji</w:t>
      </w:r>
      <w:r>
        <w:rPr>
          <w:rFonts w:ascii="Arial Narrow" w:hAnsi="Arial Narrow"/>
          <w:sz w:val="22"/>
          <w:szCs w:val="22"/>
        </w:rPr>
        <w:t>)</w:t>
      </w:r>
    </w:p>
    <w:p>
      <w:pPr>
        <w:pStyle w:val="ListParagraph"/>
        <w:spacing w:lineRule="auto" w:line="312" w:before="120" w:after="160"/>
        <w:ind w:left="2520" w:hanging="0"/>
        <w:jc w:val="righ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ListParagraph"/>
        <w:spacing w:lineRule="auto" w:line="312" w:before="120" w:after="160"/>
        <w:ind w:left="2520" w:hanging="0"/>
        <w:jc w:val="righ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before="0" w:after="160"/>
        <w:jc w:val="both"/>
        <w:rPr/>
      </w:pPr>
      <w:r>
        <w:rPr>
          <w:rFonts w:ascii="Arial Narrow" w:hAnsi="Arial Narrow"/>
          <w:bCs/>
          <w:sz w:val="22"/>
          <w:szCs w:val="22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str. </w:t>
    </w:r>
    <w:r>
      <w:rPr>
        <w:rFonts w:cs="Calibri" w:ascii="Calibri" w:hAnsi="Calibri" w:asciiTheme="minorHAnsi" w:cstheme="minorHAnsi" w:hAnsiTheme="minorHAns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PAGE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4</w:t>
    </w:r>
    <w:r>
      <w:rPr>
        <w:sz w:val="20"/>
        <w:szCs w:val="20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20"/>
        <w:szCs w:val="20"/>
      </w:rPr>
      <w:t>/</w:t>
    </w:r>
    <w:r>
      <w:rPr>
        <w:rFonts w:cs="Calibri" w:ascii="Calibri" w:hAnsi="Calibri" w:asciiTheme="minorHAnsi" w:cstheme="minorHAnsi" w:hAnsiTheme="minorHAns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NUMPAGES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34</w:t>
    </w:r>
    <w:r>
      <w:rPr>
        <w:sz w:val="20"/>
        <w:szCs w:val="20"/>
        <w:rFonts w:cs="Calibri" w:ascii="Calibri" w:hAnsi="Calibri"/>
      </w:rP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160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pacing w:val="20"/>
        <w:sz w:val="20"/>
        <w:szCs w:val="20"/>
      </w:rPr>
      <w:t>Oznaczenia postępowania: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MAB-251-1/2020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wypadku wykonawców występujących wspólnie należy podać nazwy i adresy wszystkich wykonawców.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80" w:leader="none"/>
      </w:tabs>
      <w:spacing w:before="0" w:after="160"/>
      <w:rPr/>
    </w:pPr>
    <w:r>
      <w:rPr/>
      <w:tab/>
    </w:r>
    <w:r>
      <w:rPr/>
      <w:drawing>
        <wp:inline distT="0" distB="1270" distL="0" distR="0">
          <wp:extent cx="5761355" cy="79883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 w:qFormat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uiPriority="0" w:semiHidden="1" w:unhideWhenUsed="1" w:qFormat="1"/>
    <w:lsdException w:name="endnote text" w:uiPriority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uiPriority="0" w:semiHidden="1" w:unhideWhenUsed="1" w:qFormat="1"/>
    <w:lsdException w:name="Body Text Indent 2" w:uiPriority="0" w:semiHidden="1" w:unhideWhenUsed="1" w:qFormat="1"/>
    <w:lsdException w:name="Body Text Indent 3" w:uiPriority="0" w:semiHidden="1" w:unhideWhenUsed="1" w:qFormat="1"/>
    <w:lsdException w:name="Block Text" w:uiPriority="0" w:semiHidden="1" w:unhideWhenUsed="1" w:qFormat="1"/>
    <w:lsdException w:name="Hyperlink" w:uiPriority="0" w:semiHidden="1" w:unhideWhenUsed="1" w:qFormat="1"/>
    <w:lsdException w:name="FollowedHyperlink" w:uiPriority="0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328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ac7328"/>
    <w:pPr>
      <w:shd w:val="clear" w:color="auto" w:fill="B8CCE4"/>
      <w:spacing w:lineRule="auto" w:line="276" w:before="120" w:after="160"/>
      <w:jc w:val="both"/>
      <w:outlineLvl w:val="0"/>
    </w:pPr>
    <w:rPr>
      <w:rFonts w:ascii="Calibri" w:hAnsi="Calibri" w:cs="Arial" w:asciiTheme="minorHAnsi" w:hAnsiTheme="minorHAnsi"/>
      <w:b/>
    </w:rPr>
  </w:style>
  <w:style w:type="paragraph" w:styleId="Nagwek2">
    <w:name w:val="Heading 2"/>
    <w:basedOn w:val="Normal"/>
    <w:link w:val="Nagwek2Znak"/>
    <w:uiPriority w:val="9"/>
    <w:qFormat/>
    <w:rsid w:val="00ac7328"/>
    <w:pPr>
      <w:keepNext w:val="true"/>
      <w:overflowPunct w:val="true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"/>
    <w:link w:val="Nagwek3Znak"/>
    <w:qFormat/>
    <w:rsid w:val="00ac7328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link w:val="Nagwek4Znak"/>
    <w:qFormat/>
    <w:rsid w:val="00ac7328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link w:val="Nagwek5Znak"/>
    <w:qFormat/>
    <w:rsid w:val="00ac7328"/>
    <w:pPr>
      <w:keepNext w:val="true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"/>
    <w:link w:val="Nagwek6Znak"/>
    <w:qFormat/>
    <w:rsid w:val="00ac7328"/>
    <w:pPr>
      <w:keepNext w:val="true"/>
      <w:outlineLvl w:val="5"/>
    </w:pPr>
    <w:rPr>
      <w:rFonts w:ascii="Arial" w:hAnsi="Arial"/>
      <w:b/>
      <w:bCs/>
    </w:rPr>
  </w:style>
  <w:style w:type="paragraph" w:styleId="Nagwek7">
    <w:name w:val="Heading 7"/>
    <w:basedOn w:val="Normal"/>
    <w:link w:val="Nagwek7Znak"/>
    <w:qFormat/>
    <w:rsid w:val="00ac7328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c7328"/>
    <w:rPr>
      <w:rFonts w:eastAsia="Times New Roman" w:cs="Arial"/>
      <w:sz w:val="24"/>
      <w:szCs w:val="24"/>
      <w:shd w:fill="B8CCE4" w:val="clear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c7328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c732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c7328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c7328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c732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7328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ac7328"/>
    <w:rPr>
      <w:rFonts w:ascii="Arial" w:hAnsi="Arial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c7328"/>
    <w:rPr>
      <w:rFonts w:ascii="Arial" w:hAnsi="Arial" w:eastAsia="Times New Roman" w:cs="Arial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c7328"/>
    <w:rPr>
      <w:rFonts w:ascii="Arial" w:hAnsi="Arial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c7328"/>
    <w:rPr>
      <w:rFonts w:ascii="Arial" w:hAnsi="Arial" w:eastAsia="Times New Roman" w:cs="Times New Roman"/>
      <w:sz w:val="1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c7328"/>
    <w:rPr>
      <w:rFonts w:ascii="Arial" w:hAnsi="Arial" w:eastAsia="Times New Roman" w:cs="Arial"/>
      <w:sz w:val="18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ac7328"/>
    <w:rPr>
      <w:rFonts w:ascii="Arial" w:hAnsi="Arial" w:eastAsia="Times New Roman" w:cs="Times New Roman"/>
      <w:sz w:val="24"/>
      <w:szCs w:val="24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7328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73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ac7328"/>
    <w:rPr>
      <w:rFonts w:ascii="Consolas" w:hAnsi="Consolas"/>
      <w:sz w:val="21"/>
      <w:szCs w:val="21"/>
    </w:rPr>
  </w:style>
  <w:style w:type="character" w:styleId="Annotationreference">
    <w:name w:val="annotation reference"/>
    <w:uiPriority w:val="99"/>
    <w:semiHidden/>
    <w:qFormat/>
    <w:rsid w:val="00ac7328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328"/>
    <w:rPr>
      <w:vertAlign w:val="superscript"/>
    </w:rPr>
  </w:style>
  <w:style w:type="character" w:styleId="FollowedHyperlink">
    <w:name w:val="FollowedHyperlink"/>
    <w:qFormat/>
    <w:rsid w:val="00ac7328"/>
    <w:rPr>
      <w:color w:val="800080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ac7328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qFormat/>
    <w:rsid w:val="00ac7328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ac7328"/>
    <w:rPr/>
  </w:style>
  <w:style w:type="character" w:styleId="FontStyle54" w:customStyle="1">
    <w:name w:val="Font Style54"/>
    <w:qFormat/>
    <w:rsid w:val="00ac7328"/>
    <w:rPr>
      <w:rFonts w:ascii="Arial" w:hAnsi="Arial" w:cs="Arial"/>
      <w:color w:val="000000"/>
      <w:sz w:val="18"/>
      <w:szCs w:val="18"/>
    </w:rPr>
  </w:style>
  <w:style w:type="character" w:styleId="FontStyle48" w:customStyle="1">
    <w:name w:val="Font Style48"/>
    <w:qFormat/>
    <w:rsid w:val="00ac7328"/>
    <w:rPr>
      <w:rFonts w:ascii="Arial" w:hAnsi="Arial" w:cs="Arial"/>
      <w:color w:val="000000"/>
      <w:sz w:val="18"/>
      <w:szCs w:val="18"/>
    </w:rPr>
  </w:style>
  <w:style w:type="character" w:styleId="NormalBoldChar" w:customStyle="1">
    <w:name w:val="NormalBold Char"/>
    <w:link w:val="NormalBold"/>
    <w:qFormat/>
    <w:locked/>
    <w:rsid w:val="00ac7328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ac7328"/>
    <w:rPr>
      <w:b/>
      <w:i/>
      <w:spacing w:val="0"/>
    </w:rPr>
  </w:style>
  <w:style w:type="character" w:styleId="TekstkomentarzaZnak1" w:customStyle="1">
    <w:name w:val="Tekst komentarza Znak1"/>
    <w:uiPriority w:val="99"/>
    <w:semiHidden/>
    <w:qFormat/>
    <w:rsid w:val="00ac7328"/>
    <w:rPr>
      <w:lang w:eastAsia="ar-SA"/>
    </w:rPr>
  </w:style>
  <w:style w:type="character" w:styleId="Internetlink" w:customStyle="1">
    <w:name w:val="Internet link"/>
    <w:qFormat/>
    <w:rsid w:val="00ac7328"/>
    <w:rPr>
      <w:color w:val="0000FF"/>
      <w:u w:val="single"/>
    </w:rPr>
  </w:style>
  <w:style w:type="character" w:styleId="Rowid2049" w:customStyle="1">
    <w:name w:val="row_id_2049"/>
    <w:basedOn w:val="DefaultParagraphFont"/>
    <w:qFormat/>
    <w:rsid w:val="00ac7328"/>
    <w:rPr/>
  </w:style>
  <w:style w:type="character" w:styleId="ListLabel71" w:customStyle="1">
    <w:name w:val="ListLabel 71"/>
    <w:qFormat/>
    <w:rsid w:val="00ac7328"/>
    <w:rPr>
      <w:rFonts w:cs="Courier New"/>
    </w:rPr>
  </w:style>
  <w:style w:type="character" w:styleId="ListLabel77" w:customStyle="1">
    <w:name w:val="ListLabel 77"/>
    <w:qFormat/>
    <w:rsid w:val="00ac7328"/>
    <w:rPr>
      <w:rFonts w:cs="Courier New"/>
    </w:rPr>
  </w:style>
  <w:style w:type="character" w:styleId="AkapitzlistZnak" w:customStyle="1">
    <w:name w:val="Akapit z listą Znak"/>
    <w:link w:val="Akapitzlist"/>
    <w:uiPriority w:val="34"/>
    <w:qFormat/>
    <w:rsid w:val="00ac73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01" w:customStyle="1">
    <w:name w:val="fontstyle01"/>
    <w:basedOn w:val="DefaultParagraphFont"/>
    <w:qFormat/>
    <w:rsid w:val="00ac7328"/>
    <w:rPr>
      <w:rFonts w:ascii="Verdana" w:hAnsi="Verdana"/>
      <w:color w:val="000000"/>
      <w:sz w:val="18"/>
      <w:szCs w:val="18"/>
    </w:rPr>
  </w:style>
  <w:style w:type="character" w:styleId="Znakiwypunktowania" w:customStyle="1">
    <w:name w:val="Znaki wypunktowania"/>
    <w:qFormat/>
    <w:rsid w:val="00ac7328"/>
    <w:rPr>
      <w:rFonts w:ascii="OpenSymbol" w:hAnsi="OpenSymbol" w:eastAsia="OpenSymbol" w:cs="OpenSymbo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c7328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ac7328"/>
    <w:rPr>
      <w:color w:val="808080"/>
    </w:rPr>
  </w:style>
  <w:style w:type="character" w:styleId="ListLabel78">
    <w:name w:val="ListLabel 78"/>
    <w:qFormat/>
    <w:rPr>
      <w:b w:val="false"/>
      <w:color w:val="auto"/>
    </w:rPr>
  </w:style>
  <w:style w:type="character" w:styleId="ListLabel79">
    <w:name w:val="ListLabel 79"/>
    <w:qFormat/>
    <w:rPr>
      <w:rFonts w:eastAsia="Calibri" w:cs=""/>
      <w:b w:val="false"/>
    </w:rPr>
  </w:style>
  <w:style w:type="character" w:styleId="ListLabel80">
    <w:name w:val="ListLabel 80"/>
    <w:qFormat/>
    <w:rPr>
      <w:color w:val="auto"/>
      <w:u w:val="none"/>
    </w:rPr>
  </w:style>
  <w:style w:type="character" w:styleId="ListLabel81">
    <w:name w:val="ListLabel 81"/>
    <w:qFormat/>
    <w:rPr>
      <w:color w:val="auto"/>
      <w:u w:val="none"/>
    </w:rPr>
  </w:style>
  <w:style w:type="character" w:styleId="ListLabel82">
    <w:name w:val="ListLabel 82"/>
    <w:qFormat/>
    <w:rPr>
      <w:rFonts w:ascii="Arial Narrow" w:hAnsi="Arial Narrow"/>
      <w:sz w:val="22"/>
    </w:rPr>
  </w:style>
  <w:style w:type="character" w:styleId="ListLabel83">
    <w:name w:val="ListLabel 83"/>
    <w:qFormat/>
    <w:rPr>
      <w:rFonts w:ascii="Arial Narrow" w:hAnsi="Arial Narrow"/>
      <w:sz w:val="22"/>
    </w:rPr>
  </w:style>
  <w:style w:type="character" w:styleId="ListLabel84">
    <w:name w:val="ListLabel 84"/>
    <w:qFormat/>
    <w:rPr>
      <w:rFonts w:ascii="Arial Narrow" w:hAnsi="Arial Narrow"/>
      <w:sz w:val="22"/>
    </w:rPr>
  </w:style>
  <w:style w:type="character" w:styleId="ListLabel85">
    <w:name w:val="ListLabel 85"/>
    <w:qFormat/>
    <w:rPr>
      <w:rFonts w:ascii="Arial Narrow" w:hAnsi="Arial Narrow"/>
      <w:sz w:val="22"/>
    </w:rPr>
  </w:style>
  <w:style w:type="character" w:styleId="ListLabel86">
    <w:name w:val="ListLabel 86"/>
    <w:qFormat/>
    <w:rPr>
      <w:rFonts w:ascii="Arial Narrow" w:hAnsi="Arial Narrow"/>
      <w:sz w:val="22"/>
    </w:rPr>
  </w:style>
  <w:style w:type="character" w:styleId="ListLabel87">
    <w:name w:val="ListLabel 87"/>
    <w:qFormat/>
    <w:rPr>
      <w:rFonts w:ascii="Arial Narrow" w:hAnsi="Arial Narrow"/>
      <w:sz w:val="22"/>
    </w:rPr>
  </w:style>
  <w:style w:type="character" w:styleId="ListLabel88">
    <w:name w:val="ListLabel 88"/>
    <w:qFormat/>
    <w:rPr>
      <w:rFonts w:ascii="Arial Narrow" w:hAnsi="Arial Narrow"/>
      <w:sz w:val="22"/>
    </w:rPr>
  </w:style>
  <w:style w:type="character" w:styleId="ListLabel89">
    <w:name w:val="ListLabel 89"/>
    <w:qFormat/>
    <w:rPr>
      <w:rFonts w:ascii="Arial Narrow" w:hAnsi="Arial Narrow"/>
      <w:sz w:val="22"/>
    </w:rPr>
  </w:style>
  <w:style w:type="character" w:styleId="ListLabel90">
    <w:name w:val="ListLabel 90"/>
    <w:qFormat/>
    <w:rPr>
      <w:rFonts w:ascii="Arial Narrow" w:hAnsi="Arial Narrow"/>
      <w:sz w:val="22"/>
    </w:rPr>
  </w:style>
  <w:style w:type="character" w:styleId="ListLabel91">
    <w:name w:val="ListLabel 91"/>
    <w:qFormat/>
    <w:rPr>
      <w:rFonts w:ascii="Arial Narrow" w:hAnsi="Arial Narrow"/>
      <w:sz w:val="22"/>
    </w:rPr>
  </w:style>
  <w:style w:type="character" w:styleId="ListLabel92">
    <w:name w:val="ListLabel 92"/>
    <w:qFormat/>
    <w:rPr>
      <w:rFonts w:ascii="Arial Narrow" w:hAnsi="Arial Narrow"/>
      <w:sz w:val="22"/>
    </w:rPr>
  </w:style>
  <w:style w:type="character" w:styleId="ListLabel93">
    <w:name w:val="ListLabel 93"/>
    <w:qFormat/>
    <w:rPr>
      <w:rFonts w:ascii="Arial Narrow" w:hAnsi="Arial Narrow"/>
      <w:sz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link w:val="TekstpodstawowyZnak"/>
    <w:qFormat/>
    <w:rsid w:val="00ac7328"/>
    <w:pPr>
      <w:jc w:val="both"/>
    </w:pPr>
    <w:rPr>
      <w:rFonts w:ascii="Arial" w:hAnsi="Arial"/>
      <w:b/>
      <w:bCs/>
      <w:i/>
      <w:iCs/>
    </w:rPr>
  </w:style>
  <w:style w:type="paragraph" w:styleId="Lista">
    <w:name w:val="List"/>
    <w:basedOn w:val="Tretekstu"/>
    <w:qFormat/>
    <w:rsid w:val="00ac7328"/>
    <w:pPr>
      <w:spacing w:lineRule="auto" w:line="276" w:before="0" w:after="140"/>
      <w:jc w:val="left"/>
    </w:pPr>
    <w:rPr>
      <w:rFonts w:ascii="Cambria" w:hAnsi="Cambria" w:eastAsia="Calibri" w:cs="Lucida Sans" w:eastAsiaTheme="minorHAnsi"/>
      <w:b w:val="false"/>
      <w:bCs w:val="false"/>
      <w:i w:val="false"/>
      <w:iCs w:val="false"/>
      <w:sz w:val="22"/>
      <w:szCs w:val="22"/>
      <w:lang w:eastAsia="en-U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ac7328"/>
    <w:pPr>
      <w:suppressLineNumbers/>
      <w:spacing w:lineRule="auto" w:line="276" w:before="0" w:after="200"/>
    </w:pPr>
    <w:rPr>
      <w:rFonts w:ascii="Cambria" w:hAnsi="Cambria" w:eastAsia="Calibri" w:cs="Lucida Sans"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ac7328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ac7328"/>
    <w:pPr>
      <w:suppressAutoHyphens w:val="true"/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ac732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Tekstpodstawowy3Znak"/>
    <w:qFormat/>
    <w:rsid w:val="00ac7328"/>
    <w:pPr/>
    <w:rPr>
      <w:rFonts w:ascii="Arial" w:hAnsi="Arial"/>
      <w:sz w:val="20"/>
      <w:szCs w:val="20"/>
    </w:rPr>
  </w:style>
  <w:style w:type="paragraph" w:styleId="Wcicietrecitekstu">
    <w:name w:val="Body Text Indent"/>
    <w:basedOn w:val="Normal"/>
    <w:link w:val="TekstpodstawowywcityZnak"/>
    <w:qFormat/>
    <w:rsid w:val="00ac7328"/>
    <w:pPr>
      <w:ind w:left="290" w:hanging="29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link w:val="Tekstpodstawowywcity2Znak"/>
    <w:qFormat/>
    <w:rsid w:val="00ac7328"/>
    <w:pPr>
      <w:ind w:left="290" w:hanging="0"/>
      <w:jc w:val="both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link w:val="Tekstpodstawowywcity3Znak"/>
    <w:qFormat/>
    <w:rsid w:val="00ac7328"/>
    <w:pPr>
      <w:tabs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Caption">
    <w:name w:val="caption"/>
    <w:basedOn w:val="Normal"/>
    <w:qFormat/>
    <w:rsid w:val="00ac7328"/>
    <w:pPr>
      <w:suppressLineNumbers/>
      <w:spacing w:lineRule="auto" w:line="276" w:before="120" w:after="120"/>
    </w:pPr>
    <w:rPr>
      <w:rFonts w:ascii="Cambria" w:hAnsi="Cambria" w:eastAsia="Calibri" w:cs="Lucida Sans" w:eastAsiaTheme="minorHAnsi"/>
      <w:i/>
      <w:iCs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ac732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ac7328"/>
    <w:pPr/>
    <w:rPr>
      <w:b/>
      <w:bCs/>
    </w:rPr>
  </w:style>
  <w:style w:type="paragraph" w:styleId="Przypiskocowy">
    <w:name w:val="Endnote Text"/>
    <w:basedOn w:val="Normal"/>
    <w:link w:val="TekstprzypisukocowegoZnak"/>
    <w:qFormat/>
    <w:rsid w:val="00ac7328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qFormat/>
    <w:rsid w:val="00ac7328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ac7328"/>
    <w:pPr/>
    <w:rPr>
      <w:sz w:val="20"/>
      <w:szCs w:val="20"/>
    </w:rPr>
  </w:style>
  <w:style w:type="paragraph" w:styleId="Gwka">
    <w:name w:val="Header"/>
    <w:basedOn w:val="Normal"/>
    <w:link w:val="NagwekZnak"/>
    <w:qFormat/>
    <w:rsid w:val="00ac7328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ac7328"/>
    <w:pPr>
      <w:spacing w:beforeAutospacing="1" w:afterAutospacing="1"/>
      <w:jc w:val="both"/>
    </w:pPr>
    <w:rPr>
      <w:sz w:val="20"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ac7328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Spistreci1">
    <w:name w:val="TOC 1"/>
    <w:basedOn w:val="Normal"/>
    <w:uiPriority w:val="39"/>
    <w:qFormat/>
    <w:rsid w:val="00ac7328"/>
    <w:pPr>
      <w:tabs>
        <w:tab w:val="left" w:pos="480" w:leader="none"/>
        <w:tab w:val="right" w:pos="9062" w:leader="dot"/>
      </w:tabs>
      <w:ind w:left="540" w:hanging="540"/>
    </w:pPr>
    <w:rPr>
      <w:szCs w:val="28"/>
    </w:rPr>
  </w:style>
  <w:style w:type="paragraph" w:styleId="Spistreci4">
    <w:name w:val="TOC 4"/>
    <w:basedOn w:val="Normal"/>
    <w:semiHidden/>
    <w:qFormat/>
    <w:rsid w:val="00ac7328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1" w:customStyle="1">
    <w:name w:val="Tekst podstawowy 21"/>
    <w:basedOn w:val="Normal"/>
    <w:qFormat/>
    <w:rsid w:val="00ac7328"/>
    <w:pPr>
      <w:overflowPunct w:val="true"/>
      <w:ind w:left="1080" w:hanging="0"/>
      <w:jc w:val="both"/>
      <w:textAlignment w:val="baseline"/>
    </w:pPr>
    <w:rPr>
      <w:sz w:val="22"/>
      <w:szCs w:val="20"/>
    </w:rPr>
  </w:style>
  <w:style w:type="paragraph" w:styleId="Tekstpodstawowy31" w:customStyle="1">
    <w:name w:val="Tekst podstawowy 31"/>
    <w:basedOn w:val="Normal"/>
    <w:qFormat/>
    <w:rsid w:val="00ac7328"/>
    <w:pPr>
      <w:overflowPunct w:val="true"/>
      <w:jc w:val="both"/>
      <w:textAlignment w:val="baseline"/>
    </w:pPr>
    <w:rPr>
      <w:color w:val="000000"/>
      <w:sz w:val="22"/>
      <w:szCs w:val="20"/>
    </w:rPr>
  </w:style>
  <w:style w:type="paragraph" w:styleId="Standard" w:customStyle="1">
    <w:name w:val="Standard"/>
    <w:qFormat/>
    <w:rsid w:val="00ac732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ac7328"/>
    <w:pPr>
      <w:ind w:left="708" w:hanging="0"/>
    </w:pPr>
    <w:rPr/>
  </w:style>
  <w:style w:type="paragraph" w:styleId="Poprawka1" w:customStyle="1">
    <w:name w:val="Poprawka1"/>
    <w:uiPriority w:val="99"/>
    <w:semiHidden/>
    <w:qFormat/>
    <w:rsid w:val="00ac73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2" w:customStyle="1">
    <w:name w:val="Styl2"/>
    <w:basedOn w:val="Normal"/>
    <w:qFormat/>
    <w:rsid w:val="00ac7328"/>
    <w:pPr/>
    <w:rPr>
      <w:rFonts w:ascii="Arial" w:hAnsi="Arial"/>
      <w:bCs/>
      <w:color w:val="000000"/>
    </w:rPr>
  </w:style>
  <w:style w:type="paragraph" w:styleId="Styl8" w:customStyle="1">
    <w:name w:val="Styl8"/>
    <w:basedOn w:val="Normal"/>
    <w:qFormat/>
    <w:rsid w:val="00ac7328"/>
    <w:pPr>
      <w:tabs>
        <w:tab w:val="left" w:pos="1080" w:leader="none"/>
      </w:tabs>
      <w:ind w:left="1080" w:hanging="1080"/>
      <w:jc w:val="both"/>
    </w:pPr>
    <w:rPr>
      <w:rFonts w:ascii="Arial" w:hAnsi="Arial"/>
      <w:sz w:val="20"/>
    </w:rPr>
  </w:style>
  <w:style w:type="paragraph" w:styleId="St4punkt" w:customStyle="1">
    <w:name w:val="St4-punkt"/>
    <w:basedOn w:val="Normal"/>
    <w:qFormat/>
    <w:rsid w:val="00ac7328"/>
    <w:pPr>
      <w:ind w:left="680" w:hanging="340"/>
      <w:jc w:val="both"/>
    </w:pPr>
    <w:rPr>
      <w:szCs w:val="20"/>
    </w:rPr>
  </w:style>
  <w:style w:type="paragraph" w:styleId="Styl3" w:customStyle="1">
    <w:name w:val="Styl3"/>
    <w:basedOn w:val="Normal"/>
    <w:qFormat/>
    <w:rsid w:val="00ac7328"/>
    <w:pPr>
      <w:tabs>
        <w:tab w:val="left" w:pos="709" w:leader="none"/>
        <w:tab w:val="left" w:pos="735" w:leader="none"/>
        <w:tab w:val="left" w:pos="1560" w:leader="none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Tekst" w:customStyle="1">
    <w:name w:val="tekst"/>
    <w:basedOn w:val="Normal"/>
    <w:qFormat/>
    <w:rsid w:val="00ac7328"/>
    <w:pPr>
      <w:suppressLineNumbers/>
      <w:spacing w:before="60" w:after="60"/>
      <w:jc w:val="both"/>
    </w:pPr>
    <w:rPr/>
  </w:style>
  <w:style w:type="paragraph" w:styleId="Standardowy" w:customStyle="1">
    <w:name w:val="Standardowy.+"/>
    <w:qFormat/>
    <w:rsid w:val="00ac7328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Default" w:customStyle="1">
    <w:name w:val="Default"/>
    <w:qFormat/>
    <w:rsid w:val="00ac7328"/>
    <w:pPr>
      <w:widowControl/>
      <w:bidi w:val="0"/>
      <w:jc w:val="left"/>
    </w:pPr>
    <w:rPr>
      <w:rFonts w:ascii="Book Antiqua" w:hAnsi="Book Antiqua" w:eastAsia="MS Mincho" w:cs="Book Antiqua"/>
      <w:color w:val="000000"/>
      <w:kern w:val="0"/>
      <w:sz w:val="24"/>
      <w:szCs w:val="24"/>
      <w:lang w:eastAsia="ja-JP" w:val="pl-PL" w:bidi="ar-SA"/>
    </w:rPr>
  </w:style>
  <w:style w:type="paragraph" w:styleId="Akapitzlist1" w:customStyle="1">
    <w:name w:val="Akapit z listą1"/>
    <w:basedOn w:val="Normal"/>
    <w:qFormat/>
    <w:rsid w:val="00ac7328"/>
    <w:pPr>
      <w:spacing w:before="0" w:after="160"/>
      <w:ind w:left="720" w:hanging="0"/>
      <w:contextualSpacing/>
    </w:pPr>
    <w:rPr>
      <w:rFonts w:eastAsia="Calibri"/>
    </w:rPr>
  </w:style>
  <w:style w:type="paragraph" w:styleId="Style11" w:customStyle="1">
    <w:name w:val="Style11"/>
    <w:basedOn w:val="Normal"/>
    <w:qFormat/>
    <w:rsid w:val="00ac7328"/>
    <w:pPr>
      <w:widowControl w:val="false"/>
      <w:spacing w:lineRule="exact" w:line="253"/>
      <w:ind w:hanging="355"/>
      <w:jc w:val="both"/>
    </w:pPr>
    <w:rPr>
      <w:rFonts w:ascii="Arial" w:hAnsi="Arial" w:eastAsia="Calibri" w:cs="Arial"/>
    </w:rPr>
  </w:style>
  <w:style w:type="paragraph" w:styleId="Style36" w:customStyle="1">
    <w:name w:val="Style36"/>
    <w:basedOn w:val="Normal"/>
    <w:qFormat/>
    <w:rsid w:val="00ac7328"/>
    <w:pPr>
      <w:widowControl w:val="false"/>
      <w:spacing w:lineRule="exact" w:line="230"/>
      <w:ind w:hanging="360"/>
      <w:jc w:val="both"/>
    </w:pPr>
    <w:rPr>
      <w:rFonts w:ascii="Arial" w:hAnsi="Arial" w:eastAsia="Calibri" w:cs="Arial"/>
    </w:rPr>
  </w:style>
  <w:style w:type="paragraph" w:styleId="NormalBold" w:customStyle="1">
    <w:name w:val="NormalBold"/>
    <w:basedOn w:val="Normal"/>
    <w:link w:val="NormalBoldChar"/>
    <w:qFormat/>
    <w:rsid w:val="00ac7328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ac7328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ac7328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qFormat/>
    <w:rsid w:val="00ac7328"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qFormat/>
    <w:rsid w:val="00ac7328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ac7328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ac732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NormalN" w:customStyle="1">
    <w:name w:val="Normal N"/>
    <w:basedOn w:val="Normal"/>
    <w:qFormat/>
    <w:rsid w:val="00ac7328"/>
    <w:pPr>
      <w:spacing w:before="60" w:after="40"/>
      <w:jc w:val="both"/>
    </w:pPr>
    <w:rPr>
      <w:rFonts w:ascii="Calibri" w:hAnsi="Calibri" w:eastAsia="Calibri" w:cs="" w:cstheme="minorBidi" w:eastAsiaTheme="minorHAnsi"/>
      <w:kern w:val="2"/>
      <w:sz w:val="22"/>
      <w:szCs w:val="22"/>
      <w:lang w:eastAsia="en-US"/>
    </w:rPr>
  </w:style>
  <w:style w:type="paragraph" w:styleId="Textbody" w:customStyle="1">
    <w:name w:val="Text body"/>
    <w:basedOn w:val="Standard"/>
    <w:qFormat/>
    <w:rsid w:val="00ac7328"/>
    <w:pPr>
      <w:widowControl/>
      <w:suppressAutoHyphens w:val="true"/>
      <w:overflowPunct w:val="true"/>
      <w:spacing w:lineRule="atLeast" w:line="100"/>
      <w:jc w:val="both"/>
      <w:textAlignment w:val="baseline"/>
    </w:pPr>
    <w:rPr>
      <w:kern w:val="2"/>
      <w:szCs w:val="20"/>
      <w:lang w:eastAsia="zh-CN"/>
    </w:rPr>
  </w:style>
  <w:style w:type="paragraph" w:styleId="NoSpacing">
    <w:name w:val="No Spacing"/>
    <w:uiPriority w:val="1"/>
    <w:qFormat/>
    <w:rsid w:val="00ac732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istopka" w:customStyle="1">
    <w:name w:val="Główka i stopka"/>
    <w:basedOn w:val="Normal"/>
    <w:qFormat/>
    <w:rsid w:val="00ac7328"/>
    <w:pPr>
      <w:spacing w:lineRule="auto" w:line="276" w:before="0" w:after="200"/>
    </w:pPr>
    <w:rPr>
      <w:rFonts w:ascii="Cambria" w:hAnsi="Cambria" w:eastAsia="Calibri" w:eastAsiaTheme="minorHAnsi"/>
      <w:sz w:val="22"/>
      <w:szCs w:val="22"/>
      <w:lang w:eastAsia="en-US"/>
    </w:rPr>
  </w:style>
  <w:style w:type="paragraph" w:styleId="Zawartotabeli" w:customStyle="1">
    <w:name w:val="Zawartość tabeli"/>
    <w:basedOn w:val="Normal"/>
    <w:qFormat/>
    <w:rsid w:val="00ac7328"/>
    <w:pPr>
      <w:suppressLineNumbers/>
      <w:spacing w:lineRule="auto" w:line="276" w:before="0" w:after="200"/>
    </w:pPr>
    <w:rPr>
      <w:rFonts w:ascii="Cambria" w:hAnsi="Cambria" w:eastAsia="Calibri" w:eastAsiaTheme="minorHAnsi"/>
      <w:sz w:val="22"/>
      <w:szCs w:val="22"/>
      <w:lang w:eastAsia="en-US"/>
    </w:rPr>
  </w:style>
  <w:style w:type="paragraph" w:styleId="Nagwektabeli" w:customStyle="1">
    <w:name w:val="Nagłówek tabeli"/>
    <w:basedOn w:val="Zawartotabeli"/>
    <w:qFormat/>
    <w:rsid w:val="00ac7328"/>
    <w:pPr>
      <w:jc w:val="center"/>
    </w:pPr>
    <w:rPr>
      <w:b/>
      <w:bCs/>
    </w:rPr>
  </w:style>
  <w:style w:type="paragraph" w:styleId="Western" w:customStyle="1">
    <w:name w:val="western"/>
    <w:qFormat/>
    <w:rsid w:val="00ac7328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qFormat/>
    <w:rsid w:val="00ac7328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qFormat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59"/>
    <w:rsid w:val="00ac7328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27AE-33AF-4E12-8B46-DB7A17D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16</Pages>
  <Words>5452</Words>
  <Characters>35049</Characters>
  <CharactersWithSpaces>39487</CharactersWithSpaces>
  <Paragraphs>1206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2020-01-29T12:55:00Z</dcterms:created>
  <dc:creator>Łukasz Radzikowski</dc:creator>
  <dc:description/>
  <dc:language>pl-PL</dc:language>
  <cp:lastModifiedBy>Łukasz Radzikowski</cp:lastModifiedBy>
  <dcterms:modified xsi:type="dcterms:W3CDTF">2020-01-31T08:10:00Z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